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5"/>
        </w:tabs>
        <w:spacing w:line="600" w:lineRule="exact"/>
        <w:rPr>
          <w:rFonts w:hint="eastAsia" w:ascii="Times New Roman" w:hAnsi="Times New Roman" w:eastAsia="方正小标宋简体" w:cs="方正小标宋简体"/>
          <w:sz w:val="44"/>
          <w:szCs w:val="44"/>
        </w:rPr>
      </w:pPr>
      <w:bookmarkStart w:id="0" w:name="br1_10"/>
      <w:bookmarkEnd w:id="0"/>
      <w:bookmarkStart w:id="1" w:name="br1_9"/>
      <w:bookmarkEnd w:id="1"/>
      <w:r>
        <w:rPr>
          <w:rFonts w:eastAsia="方正小标宋简体" w:cs="方正小标宋简体"/>
          <w:sz w:val="44"/>
          <w:szCs w:val="44"/>
        </w:rPr>
        <w:drawing>
          <wp:anchor distT="0" distB="0" distL="114300" distR="114300" simplePos="0" relativeHeight="251661312" behindDoc="0" locked="0" layoutInCell="1" allowOverlap="1">
            <wp:simplePos x="0" y="0"/>
            <wp:positionH relativeFrom="margin">
              <wp:posOffset>-361950</wp:posOffset>
            </wp:positionH>
            <wp:positionV relativeFrom="margin">
              <wp:posOffset>0</wp:posOffset>
            </wp:positionV>
            <wp:extent cx="6162675" cy="17049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62675" cy="1704975"/>
                    </a:xfrm>
                    <a:prstGeom prst="rect">
                      <a:avLst/>
                    </a:prstGeom>
                    <a:noFill/>
                  </pic:spPr>
                </pic:pic>
              </a:graphicData>
            </a:graphic>
          </wp:anchor>
        </w:drawing>
      </w:r>
      <w:r>
        <w:rPr>
          <w:rFonts w:eastAsia="方正小标宋简体" w:cs="方正小标宋简体"/>
          <w:sz w:val="44"/>
          <w:szCs w:val="44"/>
        </w:rPr>
        <mc:AlternateContent>
          <mc:Choice Requires="wps">
            <w:drawing>
              <wp:anchor distT="45720" distB="45720" distL="114300" distR="114300" simplePos="0" relativeHeight="251662336" behindDoc="0" locked="0" layoutInCell="1" allowOverlap="1">
                <wp:simplePos x="0" y="0"/>
                <wp:positionH relativeFrom="column">
                  <wp:posOffset>1304925</wp:posOffset>
                </wp:positionH>
                <wp:positionV relativeFrom="paragraph">
                  <wp:posOffset>647700</wp:posOffset>
                </wp:positionV>
                <wp:extent cx="2581275" cy="600075"/>
                <wp:effectExtent l="0" t="0" r="9525" b="952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81275" cy="600075"/>
                        </a:xfrm>
                        <a:prstGeom prst="rect">
                          <a:avLst/>
                        </a:prstGeom>
                        <a:solidFill>
                          <a:srgbClr val="FFFFFF"/>
                        </a:solidFill>
                        <a:ln w="9525">
                          <a:noFill/>
                          <a:miter lim="800000"/>
                        </a:ln>
                      </wps:spPr>
                      <wps:txbx>
                        <w:txbxContent>
                          <w:p>
                            <w:pPr>
                              <w:spacing w:before="120" w:after="120"/>
                              <w:ind w:firstLine="560"/>
                              <w:rPr>
                                <w:sz w:val="32"/>
                                <w:szCs w:val="32"/>
                              </w:rPr>
                            </w:pPr>
                            <w:r>
                              <w:rPr>
                                <w:rFonts w:hint="eastAsia" w:ascii="仿宋_GB2312" w:eastAsia="仿宋_GB2312"/>
                                <w:spacing w:val="-20"/>
                                <w:sz w:val="32"/>
                                <w:szCs w:val="32"/>
                              </w:rPr>
                              <w:t>湘商职院发</w:t>
                            </w:r>
                            <w:r>
                              <w:rPr>
                                <w:rFonts w:ascii="Times New Roman" w:hAnsi="Times New Roman" w:eastAsia="仿宋_GB2312" w:cs="Times New Roman"/>
                                <w:spacing w:val="-20"/>
                                <w:sz w:val="32"/>
                                <w:szCs w:val="32"/>
                              </w:rPr>
                              <w:t>〔2021〕63号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2.75pt;margin-top:51pt;height:47.25pt;width:203.25pt;mso-wrap-distance-bottom:3.6pt;mso-wrap-distance-left:9pt;mso-wrap-distance-right:9pt;mso-wrap-distance-top:3.6pt;z-index:251662336;mso-width-relative:page;mso-height-relative:page;" fillcolor="#FFFFFF" filled="t" stroked="f" coordsize="21600,21600" o:gfxdata="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EA6h7XAAAACwEAAA8AAAAAAAAAAQAgAAAAIgAAAGRycy9k&#10;b3ducmV2LnhtbFBLAQIUABQAAAAIAIdO4kDMD2syPAIAAFQEAAAOAAAAAAAAAAEAIAAAACYBAABk&#10;cnMvZTJvRG9jLnhtbFBLBQYAAAAABgAGAFkBAADUBQAAAAA=&#10;">
                <v:fill on="t" focussize="0,0"/>
                <v:stroke on="f" miterlimit="8" joinstyle="miter"/>
                <v:imagedata o:title=""/>
                <o:lock v:ext="edit" aspectratio="f"/>
                <v:textbox>
                  <w:txbxContent>
                    <w:p>
                      <w:pPr>
                        <w:spacing w:before="120" w:after="120"/>
                        <w:ind w:firstLine="560"/>
                        <w:rPr>
                          <w:sz w:val="32"/>
                          <w:szCs w:val="32"/>
                        </w:rPr>
                      </w:pPr>
                      <w:r>
                        <w:rPr>
                          <w:rFonts w:hint="eastAsia" w:ascii="仿宋_GB2312" w:eastAsia="仿宋_GB2312"/>
                          <w:spacing w:val="-20"/>
                          <w:sz w:val="32"/>
                          <w:szCs w:val="32"/>
                        </w:rPr>
                        <w:t>湘商职院发</w:t>
                      </w:r>
                      <w:r>
                        <w:rPr>
                          <w:rFonts w:ascii="Times New Roman" w:hAnsi="Times New Roman" w:eastAsia="仿宋_GB2312" w:cs="Times New Roman"/>
                          <w:spacing w:val="-20"/>
                          <w:sz w:val="32"/>
                          <w:szCs w:val="32"/>
                        </w:rPr>
                        <w:t>〔2021〕63号</w:t>
                      </w:r>
                    </w:p>
                  </w:txbxContent>
                </v:textbox>
                <w10:wrap type="square"/>
              </v:shape>
            </w:pict>
          </mc:Fallback>
        </mc:AlternateContent>
      </w:r>
    </w:p>
    <w:p>
      <w:pPr>
        <w:tabs>
          <w:tab w:val="left" w:pos="4895"/>
        </w:tabs>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关于印发《湖南商务职业技术学院</w:t>
      </w:r>
    </w:p>
    <w:p>
      <w:pPr>
        <w:tabs>
          <w:tab w:val="left" w:pos="4895"/>
        </w:tabs>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“学分银行”实施细则》的通知</w:t>
      </w:r>
    </w:p>
    <w:p>
      <w:pPr>
        <w:tabs>
          <w:tab w:val="left" w:pos="4895"/>
        </w:tabs>
        <w:spacing w:line="600" w:lineRule="exact"/>
        <w:jc w:val="center"/>
        <w:rPr>
          <w:rFonts w:ascii="方正小标宋简体" w:hAnsi="仿宋" w:eastAsia="方正小标宋简体"/>
          <w:bCs/>
          <w:sz w:val="44"/>
          <w:szCs w:val="44"/>
        </w:rPr>
      </w:pPr>
    </w:p>
    <w:p>
      <w:pPr>
        <w:spacing w:line="600" w:lineRule="exact"/>
        <w:rPr>
          <w:rFonts w:ascii="仿宋_GB2312" w:hAnsi="仿宋" w:eastAsia="仿宋_GB2312"/>
          <w:sz w:val="32"/>
          <w:szCs w:val="32"/>
        </w:rPr>
      </w:pPr>
      <w:r>
        <w:rPr>
          <w:rFonts w:hint="eastAsia" w:ascii="仿宋_GB2312" w:hAnsi="Times New Roman" w:eastAsia="仿宋_GB2312" w:cs="仿宋_GB2312"/>
          <w:sz w:val="32"/>
          <w:szCs w:val="32"/>
        </w:rPr>
        <w:t>各部</w:t>
      </w:r>
      <w:r>
        <w:rPr>
          <w:rFonts w:hint="eastAsia" w:ascii="仿宋_GB2312" w:hAnsi="仿宋" w:eastAsia="仿宋_GB2312"/>
          <w:sz w:val="32"/>
          <w:szCs w:val="32"/>
        </w:rPr>
        <w:t>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《湖南商务职业技术学院“学分银行”实施细则》经校长办公会审议通过，予以试行，现印发给你们，请遵照执行。</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tabs>
          <w:tab w:val="left" w:pos="4895"/>
        </w:tabs>
        <w:spacing w:line="600" w:lineRule="exact"/>
        <w:jc w:val="center"/>
        <w:rPr>
          <w:rFonts w:ascii="仿宋_GB2312" w:hAnsi="仿宋" w:eastAsia="仿宋_GB2312"/>
          <w:color w:val="000000"/>
          <w:sz w:val="32"/>
          <w:szCs w:val="32"/>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湖南商务职业技术学院</w:t>
      </w:r>
    </w:p>
    <w:p>
      <w:pPr>
        <w:widowControl/>
        <w:shd w:val="clear" w:color="auto" w:fill="FFFFFF"/>
        <w:spacing w:line="600" w:lineRule="exact"/>
        <w:jc w:val="center"/>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2021年11月15日</w:t>
      </w:r>
      <w:r>
        <w:rPr>
          <w:rFonts w:ascii="Times New Roman" w:hAnsi="Times New Roman" w:eastAsia="仿宋_GB2312" w:cs="Times New Roman"/>
          <w:color w:val="000000"/>
          <w:sz w:val="32"/>
          <w:szCs w:val="32"/>
        </w:rPr>
        <w:br w:type="page"/>
      </w:r>
    </w:p>
    <w:p>
      <w:pPr>
        <w:widowControl/>
        <w:shd w:val="clear" w:color="auto" w:fill="FFFFFF"/>
        <w:spacing w:line="600" w:lineRule="exact"/>
        <w:jc w:val="center"/>
        <w:textAlignment w:val="baseline"/>
        <w:rPr>
          <w:rFonts w:ascii="方正小标宋简体" w:hAnsi="黑体" w:eastAsia="方正小标宋简体" w:cs="Calibri"/>
          <w:kern w:val="0"/>
          <w:sz w:val="44"/>
          <w:szCs w:val="44"/>
        </w:rPr>
      </w:pPr>
      <w:r>
        <w:rPr>
          <w:rFonts w:hint="eastAsia" w:ascii="方正小标宋简体" w:hAnsi="黑体" w:eastAsia="方正小标宋简体" w:cs="Calibri"/>
          <w:spacing w:val="-14"/>
          <w:kern w:val="0"/>
          <w:sz w:val="44"/>
          <w:szCs w:val="44"/>
        </w:rPr>
        <w:t>湖南商务职业技术学院“学分银行”实施细则</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为贯彻落实《国务院关于印发国家职业教育改革实施方案的通知》（国发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2019</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4</w:t>
      </w:r>
      <w:r>
        <w:rPr>
          <w:rFonts w:hint="eastAsia" w:ascii="仿宋_GB2312" w:hAnsi="Calibri" w:eastAsia="仿宋_GB2312" w:cs="Calibri"/>
          <w:kern w:val="0"/>
          <w:sz w:val="32"/>
          <w:szCs w:val="32"/>
        </w:rPr>
        <w:t>号）、《关于做好职业教育国家学分银行建设相关工作的通知》（教职成司函</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2020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9</w:t>
      </w:r>
      <w:r>
        <w:rPr>
          <w:rFonts w:hint="eastAsia" w:ascii="仿宋_GB2312" w:hAnsi="Calibri" w:eastAsia="仿宋_GB2312" w:cs="Calibri"/>
          <w:kern w:val="0"/>
          <w:sz w:val="32"/>
          <w:szCs w:val="32"/>
        </w:rPr>
        <w:t>号）等文件精神，依据《职业教育国家学分银行建设工作规程（试行）》，为发挥学生的个性特长，更好地满足其学习意愿和就业意愿，真正提高人才培养的质量，实现高质量就业，结合学院实际情况，特拟定本</w:t>
      </w:r>
      <w:r>
        <w:rPr>
          <w:rFonts w:ascii="仿宋_GB2312" w:hAnsi="Calibri" w:eastAsia="仿宋_GB2312" w:cs="Calibri"/>
          <w:kern w:val="0"/>
          <w:sz w:val="32"/>
          <w:szCs w:val="32"/>
        </w:rPr>
        <w:t>细则</w:t>
      </w:r>
      <w:r>
        <w:rPr>
          <w:rFonts w:hint="eastAsia" w:ascii="仿宋_GB2312" w:hAnsi="Calibri" w:eastAsia="仿宋_GB2312" w:cs="Calibri"/>
          <w:kern w:val="0"/>
          <w:sz w:val="32"/>
          <w:szCs w:val="32"/>
        </w:rPr>
        <w:t>。</w:t>
      </w:r>
    </w:p>
    <w:p>
      <w:pPr>
        <w:widowControl/>
        <w:shd w:val="clear" w:color="auto" w:fill="FFFFFF"/>
        <w:spacing w:line="600" w:lineRule="exact"/>
        <w:ind w:firstLine="640" w:firstLineChars="200"/>
        <w:textAlignment w:val="baseline"/>
        <w:rPr>
          <w:rFonts w:ascii="黑体" w:hAnsi="黑体" w:eastAsia="黑体" w:cs="宋体"/>
          <w:kern w:val="0"/>
          <w:sz w:val="32"/>
          <w:szCs w:val="32"/>
        </w:rPr>
      </w:pPr>
      <w:r>
        <w:rPr>
          <w:rFonts w:hint="eastAsia" w:ascii="黑体" w:hAnsi="黑体" w:eastAsia="黑体" w:cs="Calibri"/>
          <w:bCs/>
          <w:kern w:val="0"/>
          <w:sz w:val="32"/>
          <w:szCs w:val="32"/>
        </w:rPr>
        <w:t>一、学分银行的定义</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我院的“学分银行”是指根据学生的兴趣爱好及职业能力发展需要，对通过自身努力取得的各类职业技能等级证书、专利、论文、竞赛获奖、创新创业成果、志愿者服务等进行认定，并根据不同的级别、档次、难度制订学分转换标准。学</w:t>
      </w:r>
      <w:r>
        <w:rPr>
          <w:rFonts w:ascii="仿宋_GB2312" w:hAnsi="Calibri" w:eastAsia="仿宋_GB2312" w:cs="Calibri"/>
          <w:kern w:val="0"/>
          <w:sz w:val="32"/>
          <w:szCs w:val="32"/>
        </w:rPr>
        <w:t>院</w:t>
      </w:r>
      <w:r>
        <w:rPr>
          <w:rFonts w:hint="eastAsia" w:ascii="仿宋_GB2312" w:hAnsi="Calibri" w:eastAsia="仿宋_GB2312" w:cs="Calibri"/>
          <w:kern w:val="0"/>
          <w:sz w:val="32"/>
          <w:szCs w:val="32"/>
        </w:rPr>
        <w:t>在此基础上对学生开展学习成果认定，存入学生学分银行，用于兑换人才培养方案中相应的课程学分。</w:t>
      </w:r>
    </w:p>
    <w:p>
      <w:pPr>
        <w:widowControl/>
        <w:shd w:val="clear" w:color="auto" w:fill="FFFFFF"/>
        <w:spacing w:line="600" w:lineRule="exact"/>
        <w:ind w:firstLine="640" w:firstLineChars="200"/>
        <w:textAlignment w:val="baseline"/>
        <w:rPr>
          <w:rFonts w:ascii="黑体" w:hAnsi="黑体" w:eastAsia="黑体" w:cs="Calibri"/>
          <w:bCs/>
          <w:kern w:val="0"/>
          <w:sz w:val="32"/>
          <w:szCs w:val="32"/>
        </w:rPr>
      </w:pPr>
      <w:r>
        <w:rPr>
          <w:rFonts w:hint="eastAsia" w:ascii="黑体" w:hAnsi="黑体" w:eastAsia="黑体" w:cs="Calibri"/>
          <w:bCs/>
          <w:kern w:val="0"/>
          <w:sz w:val="32"/>
          <w:szCs w:val="32"/>
        </w:rPr>
        <w:t>二、学分奖励的范围</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对取得各类职业技能等级证书、国家专利、软件著作权，在全国和省、市级的各种竞赛（包括职业技能竞赛、双创活动、学科知识、科技、体育及文学艺术竞赛等）中获奖，在学术刊物上发表论文及参加社会实践，在同等级及以上学校或自考中取得学分的情况等，给予一定的奖励学分。</w:t>
      </w:r>
    </w:p>
    <w:p>
      <w:pPr>
        <w:widowControl/>
        <w:shd w:val="clear" w:color="auto" w:fill="FFFFFF"/>
        <w:spacing w:line="600" w:lineRule="exact"/>
        <w:ind w:firstLine="640" w:firstLineChars="200"/>
        <w:textAlignment w:val="baseline"/>
        <w:rPr>
          <w:rFonts w:ascii="黑体" w:hAnsi="黑体" w:eastAsia="黑体" w:cs="Calibri"/>
          <w:bCs/>
          <w:kern w:val="0"/>
          <w:sz w:val="32"/>
          <w:szCs w:val="32"/>
        </w:rPr>
      </w:pPr>
      <w:r>
        <w:rPr>
          <w:rFonts w:hint="eastAsia" w:ascii="黑体" w:hAnsi="黑体" w:eastAsia="黑体" w:cs="Calibri"/>
          <w:bCs/>
          <w:kern w:val="0"/>
          <w:sz w:val="32"/>
          <w:szCs w:val="32"/>
        </w:rPr>
        <w:t>三、学分奖励的方法</w:t>
      </w:r>
    </w:p>
    <w:p>
      <w:pPr>
        <w:widowControl/>
        <w:shd w:val="clear" w:color="auto" w:fill="FFFFFF"/>
        <w:spacing w:line="600" w:lineRule="exact"/>
        <w:ind w:firstLine="643" w:firstLineChars="200"/>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（一）政府部门批准的职业技能等级证书</w:t>
      </w:r>
    </w:p>
    <w:p>
      <w:pPr>
        <w:widowControl/>
        <w:shd w:val="clear" w:color="auto" w:fill="FFFFFF"/>
        <w:spacing w:line="600" w:lineRule="exact"/>
        <w:ind w:firstLine="640" w:firstLineChars="200"/>
        <w:textAlignment w:val="baseline"/>
        <w:rPr>
          <w:rFonts w:ascii="Times New Roman" w:hAnsi="Times New Roman" w:eastAsia="仿宋_GB2312" w:cs="Times New Roman"/>
          <w:bCs/>
          <w:kern w:val="0"/>
          <w:sz w:val="32"/>
          <w:szCs w:val="32"/>
        </w:rPr>
      </w:pPr>
      <w:r>
        <w:rPr>
          <w:rFonts w:hint="eastAsia" w:ascii="仿宋_GB2312" w:hAnsi="Calibri" w:eastAsia="仿宋_GB2312" w:cs="Calibri"/>
          <w:bCs/>
          <w:kern w:val="0"/>
          <w:sz w:val="32"/>
          <w:szCs w:val="32"/>
        </w:rPr>
        <w:t>取得政府部门批准的职业技能等级证书，初级可</w:t>
      </w:r>
      <w:r>
        <w:rPr>
          <w:rFonts w:hint="eastAsia" w:ascii="Times New Roman" w:hAnsi="Times New Roman" w:eastAsia="仿宋_GB2312" w:cs="Times New Roman"/>
          <w:bCs/>
          <w:kern w:val="0"/>
          <w:sz w:val="32"/>
          <w:szCs w:val="32"/>
        </w:rPr>
        <w:t>奖励</w:t>
      </w:r>
      <w:r>
        <w:rPr>
          <w:rFonts w:ascii="Times New Roman" w:hAnsi="Times New Roman" w:eastAsia="仿宋_GB2312" w:cs="Times New Roman"/>
          <w:bCs/>
          <w:kern w:val="0"/>
          <w:sz w:val="32"/>
          <w:szCs w:val="32"/>
        </w:rPr>
        <w:t>4</w:t>
      </w:r>
      <w:r>
        <w:rPr>
          <w:rFonts w:hint="eastAsia" w:ascii="Times New Roman" w:hAnsi="Times New Roman" w:eastAsia="仿宋_GB2312" w:cs="Times New Roman"/>
          <w:bCs/>
          <w:kern w:val="0"/>
          <w:sz w:val="32"/>
          <w:szCs w:val="32"/>
        </w:rPr>
        <w:t>学分、中级可奖励</w:t>
      </w:r>
      <w:r>
        <w:rPr>
          <w:rFonts w:ascii="Times New Roman" w:hAnsi="Times New Roman" w:eastAsia="仿宋_GB2312" w:cs="Times New Roman"/>
          <w:bCs/>
          <w:kern w:val="0"/>
          <w:sz w:val="32"/>
          <w:szCs w:val="32"/>
        </w:rPr>
        <w:t>6</w:t>
      </w:r>
      <w:r>
        <w:rPr>
          <w:rFonts w:hint="eastAsia" w:ascii="Times New Roman" w:hAnsi="Times New Roman" w:eastAsia="仿宋_GB2312" w:cs="Times New Roman"/>
          <w:bCs/>
          <w:kern w:val="0"/>
          <w:sz w:val="32"/>
          <w:szCs w:val="32"/>
        </w:rPr>
        <w:t>学分、高级（含注册类）可奖励</w:t>
      </w:r>
      <w:r>
        <w:rPr>
          <w:rFonts w:ascii="Times New Roman" w:hAnsi="Times New Roman" w:eastAsia="仿宋_GB2312" w:cs="Times New Roman"/>
          <w:bCs/>
          <w:kern w:val="0"/>
          <w:sz w:val="32"/>
          <w:szCs w:val="32"/>
        </w:rPr>
        <w:t>8</w:t>
      </w:r>
      <w:r>
        <w:rPr>
          <w:rFonts w:hint="eastAsia" w:ascii="Times New Roman" w:hAnsi="Times New Roman" w:eastAsia="仿宋_GB2312" w:cs="Times New Roman"/>
          <w:bCs/>
          <w:kern w:val="0"/>
          <w:sz w:val="32"/>
          <w:szCs w:val="32"/>
        </w:rPr>
        <w:t>学分，可累计奖励，此项奖励最高不超过</w:t>
      </w:r>
      <w:r>
        <w:rPr>
          <w:rFonts w:ascii="Times New Roman" w:hAnsi="Times New Roman" w:eastAsia="仿宋_GB2312" w:cs="Times New Roman"/>
          <w:bCs/>
          <w:kern w:val="0"/>
          <w:sz w:val="32"/>
          <w:szCs w:val="32"/>
        </w:rPr>
        <w:t>16</w:t>
      </w:r>
      <w:r>
        <w:rPr>
          <w:rFonts w:hint="eastAsia" w:ascii="Times New Roman" w:hAnsi="Times New Roman" w:eastAsia="仿宋_GB2312" w:cs="Times New Roman"/>
          <w:bCs/>
          <w:kern w:val="0"/>
          <w:sz w:val="32"/>
          <w:szCs w:val="32"/>
        </w:rPr>
        <w:t>学分。</w:t>
      </w:r>
    </w:p>
    <w:p>
      <w:pPr>
        <w:widowControl/>
        <w:shd w:val="clear" w:color="auto" w:fill="FFFFFF"/>
        <w:spacing w:line="600" w:lineRule="exact"/>
        <w:ind w:firstLine="640" w:firstLineChars="200"/>
        <w:textAlignment w:val="baseline"/>
        <w:rPr>
          <w:rFonts w:ascii="仿宋_GB2312" w:hAnsi="Calibri" w:eastAsia="仿宋_GB2312" w:cs="Calibri"/>
          <w:b/>
          <w:bCs/>
          <w:kern w:val="0"/>
          <w:sz w:val="32"/>
          <w:szCs w:val="32"/>
        </w:rPr>
      </w:pPr>
      <w:r>
        <w:rPr>
          <w:rFonts w:hint="eastAsia" w:ascii="仿宋_GB2312" w:hAnsi="Calibri" w:eastAsia="仿宋_GB2312" w:cs="Calibri"/>
          <w:bCs/>
          <w:kern w:val="0"/>
          <w:sz w:val="32"/>
          <w:szCs w:val="32"/>
        </w:rPr>
        <w:t>政府部门批准的职业技能等级证书相关学分由各二级学院负责审核。</w:t>
      </w:r>
    </w:p>
    <w:p>
      <w:pPr>
        <w:widowControl/>
        <w:shd w:val="clear" w:color="auto" w:fill="FFFFFF"/>
        <w:spacing w:line="600" w:lineRule="exact"/>
        <w:ind w:firstLine="643" w:firstLineChars="200"/>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（二）竞赛类</w:t>
      </w:r>
    </w:p>
    <w:p>
      <w:pPr>
        <w:widowControl/>
        <w:shd w:val="clear" w:color="auto" w:fill="FFFFFF"/>
        <w:spacing w:line="600" w:lineRule="exact"/>
        <w:ind w:firstLine="640" w:firstLineChars="200"/>
        <w:textAlignment w:val="baseline"/>
        <w:rPr>
          <w:rFonts w:ascii="楷体_GB2312" w:hAnsi="Calibri" w:eastAsia="楷体_GB2312" w:cs="Calibri"/>
          <w:b/>
          <w:bCs/>
          <w:kern w:val="0"/>
          <w:sz w:val="32"/>
          <w:szCs w:val="32"/>
        </w:rPr>
      </w:pPr>
      <w:r>
        <w:rPr>
          <w:rFonts w:hint="eastAsia" w:ascii="仿宋_GB2312" w:hAnsi="Calibri" w:eastAsia="仿宋_GB2312" w:cs="Calibri"/>
          <w:kern w:val="0"/>
          <w:sz w:val="32"/>
          <w:szCs w:val="32"/>
        </w:rPr>
        <w:t>学校规定的</w:t>
      </w:r>
      <w:r>
        <w:rPr>
          <w:rFonts w:ascii="Times New Roman" w:hAnsi="Times New Roman" w:eastAsia="仿宋_GB2312" w:cs="Times New Roman"/>
          <w:kern w:val="0"/>
          <w:sz w:val="32"/>
          <w:szCs w:val="32"/>
        </w:rPr>
        <w:t>A</w:t>
      </w:r>
      <w:r>
        <w:rPr>
          <w:rFonts w:hint="eastAsia" w:ascii="仿宋_GB2312" w:hAnsi="Calibri" w:eastAsia="仿宋_GB2312" w:cs="Calibri"/>
          <w:kern w:val="0"/>
          <w:sz w:val="32"/>
          <w:szCs w:val="32"/>
        </w:rPr>
        <w:t>类技能竞赛获奖项目学分奖励办法如下表，其他各类竞赛奖励，按技能竞赛的</w:t>
      </w:r>
      <w:r>
        <w:rPr>
          <w:rFonts w:ascii="Times New Roman" w:hAnsi="Times New Roman" w:eastAsia="仿宋_GB2312" w:cs="Times New Roman"/>
          <w:kern w:val="0"/>
          <w:sz w:val="32"/>
          <w:szCs w:val="32"/>
        </w:rPr>
        <w:t>25%</w:t>
      </w:r>
      <w:r>
        <w:rPr>
          <w:rFonts w:hint="eastAsia" w:ascii="仿宋_GB2312" w:hAnsi="Calibri" w:eastAsia="仿宋_GB2312" w:cs="Calibri"/>
          <w:kern w:val="0"/>
          <w:sz w:val="32"/>
          <w:szCs w:val="32"/>
        </w:rPr>
        <w:t>执行。</w:t>
      </w:r>
      <w:bookmarkStart w:id="2" w:name="_GoBack"/>
      <w:bookmarkEnd w:id="2"/>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7"/>
        <w:gridCol w:w="2012"/>
        <w:gridCol w:w="202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5" w:type="dxa"/>
            <w:tcBorders>
              <w:tl2br w:val="single" w:color="auto" w:sz="2" w:space="0"/>
            </w:tcBorders>
          </w:tcPr>
          <w:p>
            <w:pPr>
              <w:widowControl/>
              <w:spacing w:line="400" w:lineRule="exact"/>
              <w:ind w:firstLine="1205" w:firstLineChars="500"/>
              <w:jc w:val="center"/>
              <w:textAlignment w:val="baseline"/>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奖励</w:t>
            </w:r>
            <w:r>
              <w:rPr>
                <w:rFonts w:hint="eastAsia" w:ascii="Times New Roman" w:hAnsi="Times New Roman" w:eastAsia="仿宋_GB2312" w:cs="Times New Roman"/>
                <w:b/>
                <w:kern w:val="0"/>
                <w:sz w:val="24"/>
                <w:szCs w:val="24"/>
              </w:rPr>
              <w:t>级别</w:t>
            </w:r>
          </w:p>
          <w:p>
            <w:pPr>
              <w:widowControl/>
              <w:spacing w:line="400" w:lineRule="exact"/>
              <w:textAlignment w:val="baseline"/>
              <w:rPr>
                <w:rFonts w:ascii="仿宋_GB2312" w:hAnsi="Calibri" w:eastAsia="仿宋_GB2312" w:cs="Calibri"/>
                <w:b/>
                <w:kern w:val="0"/>
                <w:sz w:val="32"/>
                <w:szCs w:val="32"/>
              </w:rPr>
            </w:pPr>
            <w:r>
              <w:rPr>
                <w:rFonts w:ascii="Times New Roman" w:hAnsi="Times New Roman" w:eastAsia="仿宋_GB2312" w:cs="Times New Roman"/>
                <w:b/>
                <w:kern w:val="0"/>
                <w:sz w:val="24"/>
                <w:szCs w:val="24"/>
              </w:rPr>
              <w:t>奖励学分数</w:t>
            </w:r>
          </w:p>
        </w:tc>
        <w:tc>
          <w:tcPr>
            <w:tcW w:w="2074" w:type="dxa"/>
            <w:vAlign w:val="center"/>
          </w:tcPr>
          <w:p>
            <w:pPr>
              <w:widowControl/>
              <w:spacing w:line="400" w:lineRule="exact"/>
              <w:jc w:val="center"/>
              <w:textAlignment w:val="baseline"/>
              <w:rPr>
                <w:rFonts w:ascii="仿宋_GB2312" w:hAnsi="Calibri" w:eastAsia="仿宋_GB2312" w:cs="Calibri"/>
                <w:b/>
                <w:kern w:val="0"/>
                <w:sz w:val="32"/>
                <w:szCs w:val="32"/>
              </w:rPr>
            </w:pPr>
            <w:r>
              <w:rPr>
                <w:rFonts w:ascii="Times New Roman" w:hAnsi="Times New Roman" w:eastAsia="仿宋_GB2312" w:cs="Times New Roman"/>
                <w:b/>
                <w:kern w:val="0"/>
                <w:sz w:val="24"/>
                <w:szCs w:val="24"/>
              </w:rPr>
              <w:t>国家级</w:t>
            </w:r>
          </w:p>
        </w:tc>
        <w:tc>
          <w:tcPr>
            <w:tcW w:w="2074" w:type="dxa"/>
            <w:vAlign w:val="center"/>
          </w:tcPr>
          <w:p>
            <w:pPr>
              <w:widowControl/>
              <w:spacing w:line="400" w:lineRule="exact"/>
              <w:jc w:val="center"/>
              <w:textAlignment w:val="baseline"/>
              <w:rPr>
                <w:rFonts w:ascii="仿宋_GB2312" w:hAnsi="Calibri" w:eastAsia="仿宋_GB2312" w:cs="Calibri"/>
                <w:b/>
                <w:kern w:val="0"/>
                <w:sz w:val="32"/>
                <w:szCs w:val="32"/>
              </w:rPr>
            </w:pPr>
            <w:r>
              <w:rPr>
                <w:rFonts w:ascii="Times New Roman" w:hAnsi="Times New Roman" w:eastAsia="仿宋_GB2312" w:cs="Times New Roman"/>
                <w:b/>
                <w:kern w:val="0"/>
                <w:sz w:val="24"/>
                <w:szCs w:val="24"/>
              </w:rPr>
              <w:t>省级</w:t>
            </w:r>
          </w:p>
        </w:tc>
        <w:tc>
          <w:tcPr>
            <w:tcW w:w="2074" w:type="dxa"/>
            <w:vAlign w:val="center"/>
          </w:tcPr>
          <w:p>
            <w:pPr>
              <w:widowControl/>
              <w:spacing w:line="400" w:lineRule="exact"/>
              <w:jc w:val="center"/>
              <w:textAlignment w:val="baseline"/>
              <w:rPr>
                <w:rFonts w:ascii="仿宋_GB2312" w:hAnsi="Calibri" w:eastAsia="仿宋_GB2312" w:cs="Calibri"/>
                <w:b/>
                <w:kern w:val="0"/>
                <w:sz w:val="32"/>
                <w:szCs w:val="32"/>
              </w:rPr>
            </w:pPr>
            <w:r>
              <w:rPr>
                <w:rFonts w:ascii="Times New Roman" w:hAnsi="Times New Roman" w:eastAsia="仿宋_GB2312" w:cs="Times New Roman"/>
                <w:b/>
                <w:kern w:val="0"/>
                <w:sz w:val="24"/>
                <w:szCs w:val="24"/>
              </w:rPr>
              <w:t>地市级（校级）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5"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16学分</w:t>
            </w:r>
          </w:p>
        </w:tc>
        <w:tc>
          <w:tcPr>
            <w:tcW w:w="2074"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获奖</w:t>
            </w:r>
          </w:p>
        </w:tc>
        <w:tc>
          <w:tcPr>
            <w:tcW w:w="2074" w:type="dxa"/>
          </w:tcPr>
          <w:p>
            <w:pPr>
              <w:widowControl/>
              <w:spacing w:line="400" w:lineRule="exact"/>
              <w:textAlignment w:val="baseline"/>
              <w:rPr>
                <w:rFonts w:ascii="仿宋_GB2312" w:hAnsi="Calibri" w:eastAsia="仿宋_GB2312" w:cs="Calibri"/>
                <w:kern w:val="0"/>
                <w:sz w:val="32"/>
                <w:szCs w:val="32"/>
              </w:rPr>
            </w:pP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5"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16学分</w:t>
            </w: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c>
          <w:tcPr>
            <w:tcW w:w="2074"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一等奖</w:t>
            </w: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5"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12学分</w:t>
            </w: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c>
          <w:tcPr>
            <w:tcW w:w="2074"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二、三等奖</w:t>
            </w: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5"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2学分</w:t>
            </w: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c>
          <w:tcPr>
            <w:tcW w:w="2074" w:type="dxa"/>
          </w:tcPr>
          <w:p>
            <w:pPr>
              <w:widowControl/>
              <w:spacing w:line="400" w:lineRule="exact"/>
              <w:jc w:val="center"/>
              <w:textAlignment w:val="baseline"/>
              <w:rPr>
                <w:rFonts w:ascii="仿宋_GB2312" w:hAnsi="Calibri" w:eastAsia="仿宋_GB2312" w:cs="Calibri"/>
                <w:kern w:val="0"/>
                <w:sz w:val="32"/>
                <w:szCs w:val="32"/>
              </w:rPr>
            </w:pPr>
          </w:p>
        </w:tc>
        <w:tc>
          <w:tcPr>
            <w:tcW w:w="2074" w:type="dxa"/>
          </w:tcPr>
          <w:p>
            <w:pPr>
              <w:widowControl/>
              <w:spacing w:line="400" w:lineRule="exact"/>
              <w:jc w:val="center"/>
              <w:textAlignment w:val="baseline"/>
              <w:rPr>
                <w:rFonts w:ascii="仿宋_GB2312" w:hAnsi="Calibri" w:eastAsia="仿宋_GB2312" w:cs="Calibri"/>
                <w:kern w:val="0"/>
                <w:sz w:val="32"/>
                <w:szCs w:val="32"/>
              </w:rPr>
            </w:pPr>
            <w:r>
              <w:rPr>
                <w:rFonts w:ascii="Times New Roman" w:hAnsi="Times New Roman" w:eastAsia="仿宋_GB2312" w:cs="Times New Roman"/>
                <w:kern w:val="0"/>
                <w:sz w:val="24"/>
                <w:szCs w:val="24"/>
              </w:rPr>
              <w:t>获奖</w:t>
            </w:r>
          </w:p>
        </w:tc>
      </w:tr>
    </w:tbl>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竞赛类奖励学分审核部门：</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职业技能竞赛相关学分由教务处负责审核；</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创新创业活动相关学分由创新创业学院负责审核；</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科技相关学分由科研处负责审核；</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体育相关学分由体育课部负责审核；</w:t>
      </w:r>
    </w:p>
    <w:p>
      <w:pPr>
        <w:widowControl/>
        <w:shd w:val="clear" w:color="auto" w:fill="FFFFFF"/>
        <w:spacing w:line="600" w:lineRule="exact"/>
        <w:ind w:firstLine="640" w:firstLineChars="200"/>
        <w:textAlignment w:val="baseline"/>
        <w:rPr>
          <w:rFonts w:ascii="仿宋_GB2312" w:hAnsi="Calibri" w:eastAsia="仿宋_GB2312" w:cs="Calibri"/>
          <w:kern w:val="0"/>
          <w:sz w:val="32"/>
          <w:szCs w:val="32"/>
        </w:rPr>
      </w:pPr>
      <w:r>
        <w:rPr>
          <w:rFonts w:hint="eastAsia" w:ascii="仿宋_GB2312" w:hAnsi="Calibri" w:eastAsia="仿宋_GB2312" w:cs="Calibri"/>
          <w:kern w:val="0"/>
          <w:sz w:val="32"/>
          <w:szCs w:val="32"/>
        </w:rPr>
        <w:t>学科知识、文学艺术竞赛由组织二级学院负责审核。</w:t>
      </w:r>
    </w:p>
    <w:p>
      <w:pPr>
        <w:widowControl/>
        <w:shd w:val="clear" w:color="auto" w:fill="FFFFFF"/>
        <w:spacing w:line="600" w:lineRule="exact"/>
        <w:ind w:firstLine="643" w:firstLineChars="200"/>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（三）论文、专利类</w:t>
      </w:r>
    </w:p>
    <w:p>
      <w:pPr>
        <w:widowControl/>
        <w:shd w:val="clear" w:color="auto" w:fill="FFFFFF"/>
        <w:spacing w:line="600" w:lineRule="exact"/>
        <w:ind w:firstLine="640" w:firstLineChars="200"/>
        <w:textAlignment w:val="baseline"/>
        <w:rPr>
          <w:rFonts w:ascii="楷体_GB2312" w:hAnsi="Calibri" w:eastAsia="楷体_GB2312" w:cs="Calibri"/>
          <w:b/>
          <w:bCs/>
          <w:kern w:val="0"/>
          <w:sz w:val="32"/>
          <w:szCs w:val="32"/>
        </w:rPr>
      </w:pPr>
      <w:r>
        <w:rPr>
          <w:rFonts w:hint="eastAsia" w:ascii="仿宋_GB2312" w:hAnsi="微软雅黑" w:eastAsia="仿宋_GB2312" w:cs="宋体"/>
          <w:kern w:val="0"/>
          <w:sz w:val="32"/>
          <w:szCs w:val="32"/>
        </w:rPr>
        <w:t>学生</w:t>
      </w:r>
      <w:r>
        <w:rPr>
          <w:rFonts w:ascii="Times New Roman" w:hAnsi="Times New Roman" w:eastAsia="仿宋_GB2312" w:cs="Times New Roman"/>
          <w:kern w:val="0"/>
          <w:sz w:val="32"/>
          <w:szCs w:val="32"/>
        </w:rPr>
        <w:t>在校期间，以</w:t>
      </w:r>
      <w:r>
        <w:rPr>
          <w:rFonts w:hint="eastAsia" w:ascii="仿宋_GB2312" w:hAnsi="Times New Roman" w:eastAsia="仿宋_GB2312" w:cs="Times New Roman"/>
          <w:kern w:val="0"/>
          <w:sz w:val="32"/>
          <w:szCs w:val="32"/>
        </w:rPr>
        <w:t>“湖南商务职业技术学院”为</w:t>
      </w:r>
      <w:r>
        <w:rPr>
          <w:rFonts w:ascii="Times New Roman" w:hAnsi="Times New Roman" w:eastAsia="仿宋_GB2312" w:cs="Times New Roman"/>
          <w:kern w:val="0"/>
          <w:sz w:val="32"/>
          <w:szCs w:val="32"/>
        </w:rPr>
        <w:t>第一单位，以学生本人为第一作者，在学术期刊上公开发表的3000字以上超过1个版面的学术论文（学术期刊是指由国家新闻出版广电总局认定并正式公布的学术期刊名单中的期刊）。在学术期刊上发表1篇论文，奖励2学分（全国中文核心刊物上发表1篇再加奖4学分；C刊上发表1篇论文再加奖8学分）。</w:t>
      </w:r>
    </w:p>
    <w:p>
      <w:pPr>
        <w:widowControl/>
        <w:shd w:val="clear" w:color="auto" w:fill="FFFFFF"/>
        <w:spacing w:line="600" w:lineRule="exact"/>
        <w:ind w:firstLine="555"/>
        <w:textAlignment w:val="baseline"/>
        <w:rPr>
          <w:rFonts w:ascii="Times New Roman" w:hAnsi="Times New Roman" w:eastAsia="微软雅黑" w:cs="Times New Roman"/>
          <w:kern w:val="0"/>
          <w:sz w:val="32"/>
          <w:szCs w:val="32"/>
        </w:rPr>
      </w:pPr>
      <w:r>
        <w:rPr>
          <w:rFonts w:hint="eastAsia" w:ascii="仿宋_GB2312" w:hAnsi="微软雅黑" w:eastAsia="仿宋_GB2312" w:cs="宋体"/>
          <w:kern w:val="0"/>
          <w:sz w:val="32"/>
          <w:szCs w:val="32"/>
        </w:rPr>
        <w:t>学生在校期间，以“湖南商务职业技术学院”为第一单位，以学生本人为专利</w:t>
      </w:r>
      <w:r>
        <w:rPr>
          <w:rFonts w:ascii="Times New Roman" w:hAnsi="Times New Roman" w:eastAsia="仿宋_GB2312" w:cs="Times New Roman"/>
          <w:kern w:val="0"/>
          <w:sz w:val="32"/>
          <w:szCs w:val="32"/>
        </w:rPr>
        <w:t>申请者，获得国家外观设计专利、实用新型专利、软件著作权，第一、二申请人分别奖励1.5学分、1学分；获得发明专利授权证书，第一、二、三申请人分别奖励5学分、4学分、3学分。</w:t>
      </w:r>
    </w:p>
    <w:p>
      <w:pPr>
        <w:widowControl/>
        <w:shd w:val="clear" w:color="auto" w:fill="FFFFFF"/>
        <w:spacing w:line="600" w:lineRule="exact"/>
        <w:ind w:firstLine="555"/>
        <w:textAlignment w:val="baseline"/>
        <w:rPr>
          <w:rFonts w:ascii="Times New Roman" w:hAnsi="Times New Roman" w:eastAsia="微软雅黑" w:cs="Times New Roman"/>
          <w:kern w:val="0"/>
          <w:sz w:val="32"/>
          <w:szCs w:val="32"/>
        </w:rPr>
      </w:pPr>
      <w:r>
        <w:rPr>
          <w:rFonts w:ascii="Times New Roman" w:hAnsi="Times New Roman" w:eastAsia="仿宋_GB2312" w:cs="Times New Roman"/>
          <w:kern w:val="0"/>
          <w:sz w:val="32"/>
          <w:szCs w:val="32"/>
        </w:rPr>
        <w:t>此类奖励累计不超过8</w:t>
      </w:r>
      <w:r>
        <w:rPr>
          <w:rFonts w:hint="eastAsia" w:ascii="仿宋_GB2312" w:hAnsi="微软雅黑" w:eastAsia="仿宋_GB2312" w:cs="宋体"/>
          <w:kern w:val="0"/>
          <w:sz w:val="32"/>
          <w:szCs w:val="32"/>
        </w:rPr>
        <w:t>学分。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论文、专利、</w:t>
      </w:r>
      <w:r>
        <w:rPr>
          <w:rFonts w:hint="eastAsia" w:ascii="仿宋_GB2312" w:hAnsi="微软雅黑" w:eastAsia="仿宋_GB2312" w:cs="宋体"/>
          <w:kern w:val="0"/>
          <w:sz w:val="32"/>
          <w:szCs w:val="32"/>
        </w:rPr>
        <w:t>著作权</w:t>
      </w:r>
      <w:r>
        <w:rPr>
          <w:rFonts w:ascii="仿宋_GB2312" w:hAnsi="微软雅黑" w:eastAsia="仿宋_GB2312" w:cs="宋体"/>
          <w:kern w:val="0"/>
          <w:sz w:val="32"/>
          <w:szCs w:val="32"/>
        </w:rPr>
        <w:t>类奖励学分</w:t>
      </w:r>
      <w:r>
        <w:rPr>
          <w:rFonts w:hint="eastAsia" w:ascii="仿宋_GB2312" w:hAnsi="微软雅黑" w:eastAsia="仿宋_GB2312" w:cs="宋体"/>
          <w:kern w:val="0"/>
          <w:sz w:val="32"/>
          <w:szCs w:val="32"/>
        </w:rPr>
        <w:t>由科研</w:t>
      </w:r>
      <w:r>
        <w:rPr>
          <w:rFonts w:ascii="仿宋_GB2312" w:hAnsi="微软雅黑" w:eastAsia="仿宋_GB2312" w:cs="宋体"/>
          <w:kern w:val="0"/>
          <w:sz w:val="32"/>
          <w:szCs w:val="32"/>
        </w:rPr>
        <w:t>处负责审核。</w:t>
      </w:r>
    </w:p>
    <w:p>
      <w:pPr>
        <w:widowControl/>
        <w:shd w:val="clear" w:color="auto" w:fill="FFFFFF"/>
        <w:spacing w:line="600" w:lineRule="exact"/>
        <w:ind w:firstLine="643" w:firstLineChars="200"/>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（四）创新创业类</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1.</w:t>
      </w:r>
      <w:r>
        <w:rPr>
          <w:rFonts w:ascii="仿宋_GB2312" w:hAnsi="微软雅黑" w:eastAsia="仿宋_GB2312" w:cs="宋体"/>
          <w:kern w:val="0"/>
          <w:sz w:val="32"/>
          <w:szCs w:val="32"/>
        </w:rPr>
        <w:t>创新创业项目</w:t>
      </w:r>
    </w:p>
    <w:p>
      <w:pPr>
        <w:widowControl/>
        <w:shd w:val="clear" w:color="auto" w:fill="FFFFFF"/>
        <w:spacing w:line="600" w:lineRule="exact"/>
        <w:ind w:firstLine="640" w:firstLineChars="200"/>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学生参加大学生创新创业训练计划项目（含</w:t>
      </w:r>
      <w:r>
        <w:rPr>
          <w:rFonts w:ascii="Times New Roman" w:hAnsi="Times New Roman" w:eastAsia="仿宋_GB2312" w:cs="Times New Roman"/>
          <w:kern w:val="0"/>
          <w:sz w:val="32"/>
          <w:szCs w:val="32"/>
        </w:rPr>
        <w:t>SYB</w:t>
      </w:r>
      <w:r>
        <w:rPr>
          <w:rFonts w:ascii="仿宋_GB2312" w:hAnsi="微软雅黑" w:eastAsia="仿宋_GB2312" w:cs="宋体"/>
          <w:kern w:val="0"/>
          <w:sz w:val="32"/>
          <w:szCs w:val="32"/>
        </w:rPr>
        <w:t>培训）一项，且结题通过，奖励</w:t>
      </w:r>
      <w:r>
        <w:rPr>
          <w:rFonts w:ascii="Times New Roman" w:hAnsi="Times New Roman" w:eastAsia="仿宋_GB2312" w:cs="Times New Roman"/>
          <w:kern w:val="0"/>
          <w:sz w:val="32"/>
          <w:szCs w:val="32"/>
        </w:rPr>
        <w:t>2</w:t>
      </w:r>
      <w:r>
        <w:rPr>
          <w:rFonts w:ascii="仿宋_GB2312" w:hAnsi="微软雅黑" w:eastAsia="仿宋_GB2312" w:cs="宋体"/>
          <w:kern w:val="0"/>
          <w:sz w:val="32"/>
          <w:szCs w:val="32"/>
        </w:rPr>
        <w:t>学分，在校期间多次参加大学生创新创业训练计划项目者不累计奖学分。</w:t>
      </w:r>
    </w:p>
    <w:p>
      <w:pPr>
        <w:widowControl/>
        <w:shd w:val="clear" w:color="auto" w:fill="FFFFFF"/>
        <w:spacing w:line="600" w:lineRule="exact"/>
        <w:ind w:firstLine="640" w:firstLineChars="200"/>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2.</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互联网+</w:t>
      </w:r>
      <w:r>
        <w:rPr>
          <w:rFonts w:hint="eastAsia" w:ascii="仿宋_GB2312" w:hAnsi="微软雅黑" w:eastAsia="仿宋_GB2312" w:cs="宋体"/>
          <w:kern w:val="0"/>
          <w:sz w:val="32"/>
          <w:szCs w:val="32"/>
        </w:rPr>
        <w:t>”“挑战杯”“黄炎培”</w:t>
      </w:r>
      <w:r>
        <w:rPr>
          <w:rFonts w:ascii="仿宋_GB2312" w:hAnsi="微软雅黑" w:eastAsia="仿宋_GB2312" w:cs="宋体"/>
          <w:kern w:val="0"/>
          <w:sz w:val="32"/>
          <w:szCs w:val="32"/>
        </w:rPr>
        <w:t>大学生创新创业大赛</w:t>
      </w:r>
    </w:p>
    <w:p>
      <w:pPr>
        <w:widowControl/>
        <w:shd w:val="clear" w:color="auto" w:fill="FFFFFF"/>
        <w:spacing w:line="600" w:lineRule="exact"/>
        <w:ind w:firstLine="640" w:firstLineChars="200"/>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单项获多级奖励的，以最高级别为准，奖励分值如下：国家级每人每项奖励</w:t>
      </w:r>
      <w:r>
        <w:rPr>
          <w:rFonts w:ascii="Times New Roman" w:hAnsi="Times New Roman" w:eastAsia="仿宋_GB2312" w:cs="Times New Roman"/>
          <w:kern w:val="0"/>
          <w:sz w:val="32"/>
          <w:szCs w:val="32"/>
        </w:rPr>
        <w:t>16学分；省级每人每项奖励12学分；校级每人每项奖励2学</w:t>
      </w:r>
      <w:r>
        <w:rPr>
          <w:rFonts w:ascii="仿宋_GB2312" w:hAnsi="微软雅黑" w:eastAsia="仿宋_GB2312" w:cs="宋体"/>
          <w:kern w:val="0"/>
          <w:sz w:val="32"/>
          <w:szCs w:val="32"/>
        </w:rPr>
        <w:t>分。</w:t>
      </w:r>
    </w:p>
    <w:p>
      <w:pPr>
        <w:widowControl/>
        <w:shd w:val="clear" w:color="auto" w:fill="FFFFFF"/>
        <w:spacing w:line="600" w:lineRule="exact"/>
        <w:ind w:firstLine="640" w:firstLineChars="200"/>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SYB</w:t>
      </w:r>
      <w:r>
        <w:rPr>
          <w:rFonts w:ascii="仿宋_GB2312" w:hAnsi="微软雅黑" w:eastAsia="仿宋_GB2312" w:cs="宋体"/>
          <w:kern w:val="0"/>
          <w:sz w:val="32"/>
          <w:szCs w:val="32"/>
        </w:rPr>
        <w:t>培训奖励学分</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创新创业项目和大学生创新创业大赛类奖励学分</w:t>
      </w:r>
      <w:r>
        <w:rPr>
          <w:rFonts w:hint="eastAsia" w:ascii="仿宋_GB2312" w:hAnsi="微软雅黑" w:eastAsia="仿宋_GB2312" w:cs="宋体"/>
          <w:kern w:val="0"/>
          <w:sz w:val="32"/>
          <w:szCs w:val="32"/>
        </w:rPr>
        <w:t>由创新</w:t>
      </w:r>
      <w:r>
        <w:rPr>
          <w:rFonts w:ascii="仿宋_GB2312" w:hAnsi="微软雅黑" w:eastAsia="仿宋_GB2312" w:cs="宋体"/>
          <w:kern w:val="0"/>
          <w:sz w:val="32"/>
          <w:szCs w:val="32"/>
        </w:rPr>
        <w:t>创业学院负责审核。</w:t>
      </w:r>
    </w:p>
    <w:p>
      <w:pPr>
        <w:widowControl/>
        <w:shd w:val="clear" w:color="auto" w:fill="FFFFFF"/>
        <w:spacing w:line="600" w:lineRule="exact"/>
        <w:ind w:firstLine="643" w:firstLineChars="200"/>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（五）社会实践类</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学生参加社会实践等活动</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社会实践活动内容主要有：政策宣讲、法律普及、环境保护、科技下乡、文艺下乡、企业帮扶等志愿服务类；社会调查、挂职锻炼类；企业实习类（与专业相关，非教学部门集中组织）；勤工助学类；素质拓展与职业技能培训类等</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，经相关部门考核认定后，报学生所在二级学院记入学分。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1.</w:t>
      </w:r>
      <w:r>
        <w:rPr>
          <w:rFonts w:ascii="仿宋_GB2312" w:hAnsi="微软雅黑" w:eastAsia="仿宋_GB2312" w:cs="宋体"/>
          <w:kern w:val="0"/>
          <w:sz w:val="32"/>
          <w:szCs w:val="32"/>
        </w:rPr>
        <w:t>学生个人通过社会调研、社会考察、社会服务或科技、文化、卫生</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三下乡</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等形式完成社会实践活动，需提交不少于</w:t>
      </w:r>
      <w:r>
        <w:rPr>
          <w:rFonts w:ascii="Times New Roman" w:hAnsi="Times New Roman" w:eastAsia="仿宋_GB2312" w:cs="Times New Roman"/>
          <w:kern w:val="0"/>
          <w:sz w:val="32"/>
          <w:szCs w:val="32"/>
        </w:rPr>
        <w:t>2000字的社会实践调研报告（或心得体会），由学工处组织辅导员和思想政治理论课教师评阅认定合格者，每次可获得0.5学分，此项累计不超过2学分</w:t>
      </w:r>
      <w:r>
        <w:rPr>
          <w:rFonts w:ascii="仿宋_GB2312" w:hAnsi="微软雅黑" w:eastAsia="仿宋_GB2312" w:cs="宋体"/>
          <w:kern w:val="0"/>
          <w:sz w:val="32"/>
          <w:szCs w:val="32"/>
        </w:rPr>
        <w:t>。</w:t>
      </w:r>
    </w:p>
    <w:p>
      <w:pPr>
        <w:widowControl/>
        <w:shd w:val="clear" w:color="auto" w:fill="FFFFFF"/>
        <w:spacing w:line="600" w:lineRule="exact"/>
        <w:ind w:firstLine="555"/>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仿宋_GB2312" w:hAnsi="微软雅黑" w:eastAsia="仿宋_GB2312" w:cs="宋体"/>
          <w:kern w:val="0"/>
          <w:sz w:val="32"/>
          <w:szCs w:val="32"/>
        </w:rPr>
        <w:t>学生通过参加校、院、团支部各级服务队完成社会实践或志愿者活动，需提供相关的证明材料，并提交不少于</w:t>
      </w:r>
      <w:r>
        <w:rPr>
          <w:rFonts w:ascii="Times New Roman" w:hAnsi="Times New Roman" w:eastAsia="仿宋_GB2312" w:cs="Times New Roman"/>
          <w:kern w:val="0"/>
          <w:sz w:val="32"/>
          <w:szCs w:val="32"/>
        </w:rPr>
        <w:t>3000字的社会实践调研报告（或心得体会）且附加活动照片、新闻媒体报道等，由学工处认定结项完成任务，每次可获得0.5学分，最多不超过2学分。</w:t>
      </w:r>
    </w:p>
    <w:p>
      <w:pPr>
        <w:widowControl/>
        <w:shd w:val="clear" w:color="auto" w:fill="FFFFFF"/>
        <w:spacing w:line="600" w:lineRule="exact"/>
        <w:ind w:firstLine="555"/>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3.学生</w:t>
      </w:r>
      <w:r>
        <w:rPr>
          <w:rFonts w:ascii="仿宋_GB2312" w:hAnsi="微软雅黑" w:eastAsia="仿宋_GB2312" w:cs="宋体"/>
          <w:kern w:val="0"/>
          <w:sz w:val="32"/>
          <w:szCs w:val="32"/>
        </w:rPr>
        <w:t>通过参加</w:t>
      </w:r>
      <w:r>
        <w:rPr>
          <w:rFonts w:hint="eastAsia" w:ascii="仿宋_GB2312" w:hAnsi="微软雅黑" w:eastAsia="仿宋_GB2312" w:cs="宋体"/>
          <w:kern w:val="0"/>
          <w:sz w:val="32"/>
          <w:szCs w:val="32"/>
        </w:rPr>
        <w:t>学</w:t>
      </w:r>
      <w:r>
        <w:rPr>
          <w:rFonts w:ascii="仿宋_GB2312" w:hAnsi="微软雅黑" w:eastAsia="仿宋_GB2312" w:cs="宋体"/>
          <w:kern w:val="0"/>
          <w:sz w:val="32"/>
          <w:szCs w:val="32"/>
        </w:rPr>
        <w:t>工处组织的校内外勤工助学活动，经</w:t>
      </w:r>
      <w:r>
        <w:rPr>
          <w:rFonts w:hint="eastAsia" w:ascii="仿宋_GB2312" w:hAnsi="微软雅黑" w:eastAsia="仿宋_GB2312" w:cs="宋体"/>
          <w:kern w:val="0"/>
          <w:sz w:val="32"/>
          <w:szCs w:val="32"/>
        </w:rPr>
        <w:t>学</w:t>
      </w:r>
      <w:r>
        <w:rPr>
          <w:rFonts w:ascii="仿宋_GB2312" w:hAnsi="微软雅黑" w:eastAsia="仿宋_GB2312" w:cs="宋体"/>
          <w:kern w:val="0"/>
          <w:sz w:val="32"/>
          <w:szCs w:val="32"/>
        </w:rPr>
        <w:t>工处核实并认定，每累计</w:t>
      </w:r>
      <w:r>
        <w:rPr>
          <w:rFonts w:ascii="Times New Roman" w:hAnsi="Times New Roman" w:eastAsia="仿宋_GB2312" w:cs="Times New Roman"/>
          <w:kern w:val="0"/>
          <w:sz w:val="32"/>
          <w:szCs w:val="32"/>
        </w:rPr>
        <w:t>80小时，可获得1学分，最多不超过2学分。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4.</w:t>
      </w:r>
      <w:r>
        <w:rPr>
          <w:rFonts w:ascii="仿宋_GB2312" w:hAnsi="微软雅黑" w:eastAsia="仿宋_GB2312" w:cs="宋体"/>
          <w:kern w:val="0"/>
          <w:sz w:val="32"/>
          <w:szCs w:val="32"/>
        </w:rPr>
        <w:t>学生通过参与素质拓展与职业技能培训，考取除本规定</w:t>
      </w:r>
      <w:r>
        <w:rPr>
          <w:rFonts w:hint="eastAsia" w:ascii="仿宋_GB2312" w:hAnsi="微软雅黑" w:eastAsia="仿宋_GB2312" w:cs="宋体"/>
          <w:kern w:val="0"/>
          <w:sz w:val="32"/>
          <w:szCs w:val="32"/>
        </w:rPr>
        <w:t>“政府部门批准的职业技能等级证书”</w:t>
      </w:r>
      <w:r>
        <w:rPr>
          <w:rFonts w:hint="eastAsia" w:ascii="仿宋_GB2312" w:hAnsi="Calibri" w:eastAsia="仿宋_GB2312" w:cs="Calibri"/>
          <w:bCs/>
          <w:kern w:val="0"/>
          <w:sz w:val="32"/>
          <w:szCs w:val="32"/>
        </w:rPr>
        <w:t>之外的证书（</w:t>
      </w:r>
      <w:r>
        <w:rPr>
          <w:rFonts w:ascii="仿宋_GB2312" w:hAnsi="微软雅黑" w:eastAsia="仿宋_GB2312" w:cs="宋体"/>
          <w:kern w:val="0"/>
          <w:sz w:val="32"/>
          <w:szCs w:val="32"/>
        </w:rPr>
        <w:t>计算机、英语三级及以上、普通话二级乙等及以上等</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，报学生所在二级学院认定，每种证书可获得</w:t>
      </w:r>
      <w:r>
        <w:rPr>
          <w:rFonts w:ascii="Times New Roman" w:hAnsi="Times New Roman" w:eastAsia="仿宋_GB2312" w:cs="Times New Roman"/>
          <w:kern w:val="0"/>
          <w:sz w:val="32"/>
          <w:szCs w:val="32"/>
        </w:rPr>
        <w:t>2学分，最多不超过8</w:t>
      </w:r>
      <w:r>
        <w:rPr>
          <w:rFonts w:ascii="仿宋_GB2312" w:hAnsi="微软雅黑" w:eastAsia="仿宋_GB2312" w:cs="宋体"/>
          <w:kern w:val="0"/>
          <w:sz w:val="32"/>
          <w:szCs w:val="32"/>
        </w:rPr>
        <w:t>学分。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社会实践类奖励学分审核部门：</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志愿服务、社会调查、挂职锻炼、勤工助学、素质拓展类相关奖励学分由学工处负责审核；</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企业实习类（与专业相关，非教学部门集中组织）相关奖励学分由组织二级学院负责审核；</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除教育部批准的职业技能等级证书之外的证书</w:t>
      </w:r>
      <w:r>
        <w:rPr>
          <w:rFonts w:ascii="仿宋_GB2312" w:hAnsi="微软雅黑" w:eastAsia="仿宋_GB2312" w:cs="宋体"/>
          <w:kern w:val="0"/>
          <w:sz w:val="32"/>
          <w:szCs w:val="32"/>
        </w:rPr>
        <w:t>相关奖励学分由继续教育学院负责审核。</w:t>
      </w:r>
    </w:p>
    <w:p>
      <w:pPr>
        <w:widowControl/>
        <w:shd w:val="clear" w:color="auto" w:fill="FFFFFF"/>
        <w:spacing w:line="600" w:lineRule="exact"/>
        <w:ind w:firstLine="643" w:firstLineChars="200"/>
        <w:textAlignment w:val="baseline"/>
        <w:rPr>
          <w:rFonts w:ascii="微软雅黑" w:hAnsi="微软雅黑" w:eastAsia="微软雅黑" w:cs="宋体"/>
          <w:kern w:val="0"/>
          <w:sz w:val="32"/>
          <w:szCs w:val="32"/>
        </w:rPr>
      </w:pPr>
      <w:r>
        <w:rPr>
          <w:rFonts w:hint="eastAsia" w:ascii="楷体_GB2312" w:hAnsi="Calibri" w:eastAsia="楷体_GB2312" w:cs="Calibri"/>
          <w:b/>
          <w:bCs/>
          <w:kern w:val="0"/>
          <w:sz w:val="32"/>
          <w:szCs w:val="32"/>
        </w:rPr>
        <w:t>（六）在同等级及上以学校或自考中取得的学分类</w:t>
      </w:r>
    </w:p>
    <w:p>
      <w:pPr>
        <w:widowControl/>
        <w:shd w:val="clear" w:color="auto" w:fill="FFFFFF"/>
        <w:spacing w:line="600" w:lineRule="exact"/>
        <w:ind w:firstLine="555"/>
        <w:textAlignment w:val="baseline"/>
        <w:rPr>
          <w:rFonts w:ascii="仿宋_GB2312" w:hAnsi="Calibri" w:eastAsia="仿宋_GB2312" w:cs="Calibri"/>
          <w:bCs/>
          <w:kern w:val="0"/>
          <w:sz w:val="32"/>
          <w:szCs w:val="32"/>
        </w:rPr>
      </w:pPr>
      <w:r>
        <w:rPr>
          <w:rFonts w:hint="eastAsia" w:ascii="仿宋_GB2312" w:hAnsi="Calibri" w:eastAsia="仿宋_GB2312" w:cs="Calibri"/>
          <w:bCs/>
          <w:kern w:val="0"/>
          <w:sz w:val="32"/>
          <w:szCs w:val="32"/>
        </w:rPr>
        <w:t>取得在教育部批准的同等级及上以学校或自考中取得的学分，可奖励本院专业人才培养方案中相对应课程（课程内容基本一致）的学分，此项奖励最高不超过</w:t>
      </w:r>
      <w:r>
        <w:rPr>
          <w:rFonts w:ascii="Times New Roman" w:hAnsi="Times New Roman" w:eastAsia="仿宋_GB2312" w:cs="Times New Roman"/>
          <w:bCs/>
          <w:kern w:val="0"/>
          <w:sz w:val="32"/>
          <w:szCs w:val="32"/>
        </w:rPr>
        <w:t>20</w:t>
      </w:r>
      <w:r>
        <w:rPr>
          <w:rFonts w:hint="eastAsia" w:ascii="仿宋_GB2312" w:hAnsi="Calibri" w:eastAsia="仿宋_GB2312" w:cs="Calibri"/>
          <w:bCs/>
          <w:kern w:val="0"/>
          <w:sz w:val="32"/>
          <w:szCs w:val="32"/>
        </w:rPr>
        <w:t>学分。</w:t>
      </w:r>
    </w:p>
    <w:p>
      <w:pPr>
        <w:widowControl/>
        <w:shd w:val="clear" w:color="auto" w:fill="FFFFFF"/>
        <w:spacing w:line="600" w:lineRule="exact"/>
        <w:ind w:firstLine="555"/>
        <w:textAlignment w:val="baseline"/>
        <w:rPr>
          <w:rFonts w:ascii="仿宋_GB2312" w:hAnsi="Calibri" w:eastAsia="仿宋_GB2312" w:cs="Calibri"/>
          <w:b/>
          <w:bCs/>
          <w:kern w:val="0"/>
          <w:sz w:val="32"/>
          <w:szCs w:val="32"/>
        </w:rPr>
      </w:pPr>
      <w:r>
        <w:rPr>
          <w:rFonts w:hint="eastAsia" w:ascii="仿宋_GB2312" w:hAnsi="Calibri" w:eastAsia="仿宋_GB2312" w:cs="Calibri"/>
          <w:bCs/>
          <w:kern w:val="0"/>
          <w:sz w:val="32"/>
          <w:szCs w:val="32"/>
        </w:rPr>
        <w:t>在同等级及上以学校或自考中取得的相关学分由各二级学院负责审核。</w:t>
      </w:r>
    </w:p>
    <w:p>
      <w:pPr>
        <w:widowControl/>
        <w:shd w:val="clear" w:color="auto" w:fill="FFFFFF"/>
        <w:spacing w:line="600" w:lineRule="exact"/>
        <w:ind w:firstLine="640" w:firstLineChars="200"/>
        <w:textAlignment w:val="baseline"/>
        <w:rPr>
          <w:rFonts w:ascii="黑体" w:hAnsi="黑体" w:eastAsia="黑体" w:cs="Calibri"/>
          <w:bCs/>
          <w:kern w:val="0"/>
          <w:sz w:val="32"/>
          <w:szCs w:val="32"/>
        </w:rPr>
      </w:pPr>
      <w:r>
        <w:rPr>
          <w:rFonts w:hint="eastAsia" w:ascii="黑体" w:hAnsi="黑体" w:eastAsia="黑体" w:cs="Calibri"/>
          <w:bCs/>
          <w:kern w:val="0"/>
          <w:sz w:val="32"/>
          <w:szCs w:val="32"/>
        </w:rPr>
        <w:t>四、奖励学分的兑换方法</w:t>
      </w:r>
    </w:p>
    <w:p>
      <w:pPr>
        <w:widowControl/>
        <w:shd w:val="clear" w:color="auto" w:fill="FFFFFF"/>
        <w:spacing w:line="600" w:lineRule="exact"/>
        <w:ind w:firstLine="555"/>
        <w:textAlignment w:val="baseline"/>
        <w:rPr>
          <w:rFonts w:ascii="楷体_GB2312" w:hAnsi="微软雅黑" w:eastAsia="楷体_GB2312" w:cs="宋体"/>
          <w:kern w:val="0"/>
          <w:sz w:val="32"/>
          <w:szCs w:val="32"/>
        </w:rPr>
      </w:pPr>
      <w:r>
        <w:rPr>
          <w:rFonts w:hint="eastAsia" w:ascii="楷体_GB2312" w:hAnsi="Calibri" w:eastAsia="楷体_GB2312" w:cs="Calibri"/>
          <w:b/>
          <w:bCs/>
          <w:kern w:val="0"/>
          <w:sz w:val="32"/>
          <w:szCs w:val="32"/>
        </w:rPr>
        <w:t>（一）兑换范围</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奖励学分的兑换范围按如下规定执行：</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1.</w:t>
      </w:r>
      <w:r>
        <w:rPr>
          <w:rFonts w:hint="eastAsia" w:ascii="仿宋_GB2312" w:hAnsi="微软雅黑" w:eastAsia="仿宋_GB2312" w:cs="宋体"/>
          <w:kern w:val="0"/>
          <w:sz w:val="32"/>
          <w:szCs w:val="32"/>
        </w:rPr>
        <w:t>思想</w:t>
      </w:r>
      <w:r>
        <w:rPr>
          <w:rFonts w:ascii="仿宋_GB2312" w:hAnsi="微软雅黑" w:eastAsia="仿宋_GB2312" w:cs="宋体"/>
          <w:kern w:val="0"/>
          <w:sz w:val="32"/>
          <w:szCs w:val="32"/>
        </w:rPr>
        <w:t>政治理论课程、实践环节类课程不允许兑换；</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2.</w:t>
      </w:r>
      <w:r>
        <w:rPr>
          <w:rFonts w:ascii="仿宋_GB2312" w:hAnsi="微软雅黑" w:eastAsia="仿宋_GB2312" w:cs="宋体"/>
          <w:kern w:val="0"/>
          <w:sz w:val="32"/>
          <w:szCs w:val="32"/>
        </w:rPr>
        <w:t>有作弊记录的课程不允许兑换；</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Times New Roman" w:hAnsi="Times New Roman" w:eastAsia="仿宋_GB2312" w:cs="Times New Roman"/>
          <w:kern w:val="0"/>
          <w:sz w:val="32"/>
          <w:szCs w:val="32"/>
        </w:rPr>
        <w:t>3.</w:t>
      </w:r>
      <w:r>
        <w:rPr>
          <w:rFonts w:ascii="仿宋_GB2312" w:hAnsi="微软雅黑" w:eastAsia="仿宋_GB2312" w:cs="宋体"/>
          <w:kern w:val="0"/>
          <w:sz w:val="32"/>
          <w:szCs w:val="32"/>
        </w:rPr>
        <w:t>其它课程兑换规则见下表：</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p>
    <w:p>
      <w:pPr>
        <w:widowControl/>
        <w:shd w:val="clear" w:color="auto" w:fill="FFFFFF"/>
        <w:spacing w:line="600" w:lineRule="exact"/>
        <w:ind w:firstLine="555"/>
        <w:textAlignment w:val="baseline"/>
        <w:rPr>
          <w:rFonts w:ascii="仿宋_GB2312" w:hAnsi="微软雅黑" w:eastAsia="仿宋_GB2312" w:cs="宋体"/>
          <w:kern w:val="0"/>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spacing w:line="600" w:lineRule="exact"/>
              <w:jc w:val="center"/>
              <w:textAlignment w:val="baseline"/>
              <w:rPr>
                <w:rFonts w:ascii="仿宋_GB2312" w:hAnsi="微软雅黑" w:eastAsia="仿宋_GB2312" w:cs="宋体"/>
                <w:b/>
                <w:kern w:val="0"/>
                <w:sz w:val="24"/>
                <w:szCs w:val="24"/>
              </w:rPr>
            </w:pPr>
            <w:r>
              <w:rPr>
                <w:rFonts w:ascii="仿宋_GB2312" w:hAnsi="微软雅黑" w:eastAsia="仿宋_GB2312" w:cs="宋体"/>
                <w:b/>
                <w:kern w:val="0"/>
                <w:sz w:val="24"/>
                <w:szCs w:val="24"/>
              </w:rPr>
              <w:t>课程模块</w:t>
            </w:r>
          </w:p>
        </w:tc>
        <w:tc>
          <w:tcPr>
            <w:tcW w:w="5749" w:type="dxa"/>
            <w:vAlign w:val="center"/>
          </w:tcPr>
          <w:p>
            <w:pPr>
              <w:widowControl/>
              <w:spacing w:line="400" w:lineRule="exact"/>
              <w:jc w:val="center"/>
              <w:textAlignment w:val="baseline"/>
              <w:rPr>
                <w:rFonts w:ascii="仿宋_GB2312" w:hAnsi="微软雅黑" w:eastAsia="仿宋_GB2312" w:cs="宋体"/>
                <w:b/>
                <w:kern w:val="0"/>
                <w:sz w:val="24"/>
                <w:szCs w:val="24"/>
              </w:rPr>
            </w:pPr>
            <w:r>
              <w:rPr>
                <w:rFonts w:ascii="仿宋_GB2312" w:hAnsi="微软雅黑" w:eastAsia="仿宋_GB2312" w:cs="宋体"/>
                <w:b/>
                <w:kern w:val="0"/>
                <w:sz w:val="24"/>
                <w:szCs w:val="24"/>
              </w:rPr>
              <w:t>可兑换类型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spacing w:line="400" w:lineRule="exact"/>
              <w:jc w:val="center"/>
              <w:textAlignment w:val="baseline"/>
              <w:rPr>
                <w:rFonts w:ascii="仿宋_GB2312" w:hAnsi="微软雅黑" w:eastAsia="仿宋_GB2312" w:cs="宋体"/>
                <w:kern w:val="0"/>
                <w:sz w:val="24"/>
                <w:szCs w:val="24"/>
              </w:rPr>
            </w:pPr>
            <w:r>
              <w:rPr>
                <w:rFonts w:ascii="仿宋_GB2312" w:hAnsi="微软雅黑" w:eastAsia="仿宋_GB2312" w:cs="宋体"/>
                <w:kern w:val="0"/>
                <w:sz w:val="24"/>
                <w:szCs w:val="24"/>
              </w:rPr>
              <w:t>公共基础课程</w:t>
            </w:r>
          </w:p>
          <w:p>
            <w:pPr>
              <w:widowControl/>
              <w:spacing w:line="400" w:lineRule="exact"/>
              <w:jc w:val="center"/>
              <w:textAlignment w:val="baseline"/>
              <w:rPr>
                <w:rFonts w:ascii="仿宋_GB2312" w:hAnsi="微软雅黑" w:eastAsia="仿宋_GB2312" w:cs="宋体"/>
                <w:kern w:val="0"/>
                <w:sz w:val="24"/>
                <w:szCs w:val="24"/>
              </w:rPr>
            </w:pPr>
            <w:r>
              <w:rPr>
                <w:rFonts w:hint="eastAsia" w:ascii="仿宋_GB2312" w:hAnsi="微软雅黑" w:eastAsia="仿宋_GB2312" w:cs="宋体"/>
                <w:kern w:val="0"/>
                <w:sz w:val="24"/>
                <w:szCs w:val="24"/>
              </w:rPr>
              <w:t>（必修、限选）</w:t>
            </w:r>
          </w:p>
        </w:tc>
        <w:tc>
          <w:tcPr>
            <w:tcW w:w="5749" w:type="dxa"/>
            <w:vAlign w:val="center"/>
          </w:tcPr>
          <w:p>
            <w:pPr>
              <w:widowControl/>
              <w:spacing w:line="400" w:lineRule="exact"/>
              <w:textAlignment w:val="baseline"/>
              <w:rPr>
                <w:rFonts w:ascii="仿宋_GB2312" w:hAnsi="微软雅黑" w:eastAsia="仿宋_GB2312" w:cs="宋体"/>
                <w:color w:val="2E75B6" w:themeColor="accent1" w:themeShade="BF"/>
                <w:kern w:val="0"/>
                <w:sz w:val="24"/>
                <w:szCs w:val="24"/>
              </w:rPr>
            </w:pPr>
            <w:r>
              <w:rPr>
                <w:rFonts w:hint="eastAsia" w:ascii="仿宋_GB2312" w:hAnsi="微软雅黑" w:eastAsia="仿宋_GB2312" w:cs="宋体"/>
                <w:kern w:val="0"/>
                <w:sz w:val="24"/>
                <w:szCs w:val="24"/>
              </w:rPr>
              <w:t>技能竞赛所奖励的学分：技能竞赛内容与对应公共基础课内容基本一致的技能竞赛所奖励</w:t>
            </w:r>
            <w:r>
              <w:rPr>
                <w:rFonts w:ascii="仿宋_GB2312" w:hAnsi="微软雅黑" w:eastAsia="仿宋_GB2312" w:cs="宋体"/>
                <w:kern w:val="0"/>
                <w:sz w:val="24"/>
                <w:szCs w:val="24"/>
              </w:rPr>
              <w:t>的学分可兑换</w:t>
            </w:r>
            <w:r>
              <w:rPr>
                <w:rFonts w:hint="eastAsia" w:ascii="仿宋_GB2312" w:hAnsi="微软雅黑" w:eastAsia="仿宋_GB2312" w:cs="宋体"/>
                <w:kern w:val="0"/>
                <w:sz w:val="24"/>
                <w:szCs w:val="24"/>
              </w:rPr>
              <w:t>对应</w:t>
            </w:r>
            <w:r>
              <w:rPr>
                <w:rFonts w:ascii="仿宋_GB2312" w:hAnsi="微软雅黑" w:eastAsia="仿宋_GB2312" w:cs="宋体"/>
                <w:kern w:val="0"/>
                <w:sz w:val="24"/>
                <w:szCs w:val="24"/>
              </w:rPr>
              <w:t>公共基础课学</w:t>
            </w:r>
            <w:r>
              <w:rPr>
                <w:rFonts w:hint="eastAsia" w:ascii="仿宋_GB2312" w:hAnsi="微软雅黑" w:eastAsia="仿宋_GB2312"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spacing w:line="400" w:lineRule="exact"/>
              <w:jc w:val="center"/>
              <w:textAlignment w:val="baseline"/>
              <w:rPr>
                <w:rFonts w:ascii="仿宋_GB2312" w:hAnsi="微软雅黑" w:eastAsia="仿宋_GB2312" w:cs="宋体"/>
                <w:kern w:val="0"/>
                <w:sz w:val="24"/>
                <w:szCs w:val="24"/>
              </w:rPr>
            </w:pPr>
            <w:r>
              <w:rPr>
                <w:rFonts w:ascii="仿宋_GB2312" w:hAnsi="微软雅黑" w:eastAsia="仿宋_GB2312" w:cs="宋体"/>
                <w:kern w:val="0"/>
                <w:sz w:val="24"/>
                <w:szCs w:val="24"/>
              </w:rPr>
              <w:t>专业基础、</w:t>
            </w:r>
          </w:p>
          <w:p>
            <w:pPr>
              <w:widowControl/>
              <w:spacing w:line="400" w:lineRule="exact"/>
              <w:jc w:val="center"/>
              <w:textAlignment w:val="baseline"/>
              <w:rPr>
                <w:rFonts w:ascii="仿宋_GB2312" w:hAnsi="微软雅黑" w:eastAsia="仿宋_GB2312" w:cs="宋体"/>
                <w:kern w:val="0"/>
                <w:sz w:val="24"/>
                <w:szCs w:val="24"/>
              </w:rPr>
            </w:pPr>
            <w:r>
              <w:rPr>
                <w:rFonts w:ascii="仿宋_GB2312" w:hAnsi="微软雅黑" w:eastAsia="仿宋_GB2312" w:cs="宋体"/>
                <w:kern w:val="0"/>
                <w:sz w:val="24"/>
                <w:szCs w:val="24"/>
              </w:rPr>
              <w:t>专业核心课程</w:t>
            </w:r>
          </w:p>
        </w:tc>
        <w:tc>
          <w:tcPr>
            <w:tcW w:w="5749" w:type="dxa"/>
            <w:vAlign w:val="center"/>
          </w:tcPr>
          <w:p>
            <w:pPr>
              <w:widowControl/>
              <w:spacing w:line="400" w:lineRule="exact"/>
              <w:textAlignment w:val="baseline"/>
              <w:rPr>
                <w:rFonts w:ascii="仿宋_GB2312" w:hAnsi="微软雅黑" w:eastAsia="仿宋_GB2312" w:cs="宋体"/>
                <w:kern w:val="0"/>
                <w:sz w:val="24"/>
                <w:szCs w:val="24"/>
              </w:rPr>
            </w:pPr>
            <w:r>
              <w:rPr>
                <w:rFonts w:ascii="仿宋_GB2312" w:hAnsi="微软雅黑" w:eastAsia="仿宋_GB2312" w:cs="宋体"/>
                <w:kern w:val="0"/>
                <w:sz w:val="24"/>
                <w:szCs w:val="24"/>
              </w:rPr>
              <w:t>政府部门</w:t>
            </w:r>
            <w:r>
              <w:rPr>
                <w:rFonts w:hint="eastAsia" w:ascii="仿宋_GB2312" w:hAnsi="微软雅黑" w:eastAsia="仿宋_GB2312" w:cs="宋体"/>
                <w:kern w:val="0"/>
                <w:sz w:val="24"/>
                <w:szCs w:val="24"/>
              </w:rPr>
              <w:t>批准的职业技能等级证书、技能竞赛所奖励的学分、在同等级及以上学校或自考中取得的学分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spacing w:line="400" w:lineRule="exact"/>
              <w:jc w:val="center"/>
              <w:textAlignment w:val="baseline"/>
              <w:rPr>
                <w:rFonts w:ascii="仿宋_GB2312" w:hAnsi="微软雅黑" w:eastAsia="仿宋_GB2312" w:cs="宋体"/>
                <w:kern w:val="0"/>
                <w:sz w:val="24"/>
                <w:szCs w:val="24"/>
              </w:rPr>
            </w:pPr>
            <w:r>
              <w:rPr>
                <w:rFonts w:ascii="仿宋_GB2312" w:hAnsi="微软雅黑" w:eastAsia="仿宋_GB2312" w:cs="宋体"/>
                <w:kern w:val="0"/>
                <w:sz w:val="24"/>
                <w:szCs w:val="24"/>
              </w:rPr>
              <w:t>专业拓展课程</w:t>
            </w:r>
            <w:r>
              <w:rPr>
                <w:rFonts w:hint="eastAsia" w:ascii="仿宋_GB2312" w:hAnsi="微软雅黑" w:eastAsia="仿宋_GB2312" w:cs="宋体"/>
                <w:kern w:val="0"/>
                <w:sz w:val="24"/>
                <w:szCs w:val="24"/>
              </w:rPr>
              <w:t>、公共基础课程（选修）</w:t>
            </w:r>
          </w:p>
        </w:tc>
        <w:tc>
          <w:tcPr>
            <w:tcW w:w="5749" w:type="dxa"/>
            <w:vAlign w:val="center"/>
          </w:tcPr>
          <w:p>
            <w:pPr>
              <w:spacing w:line="400" w:lineRule="exact"/>
              <w:rPr>
                <w:sz w:val="24"/>
                <w:szCs w:val="24"/>
              </w:rPr>
            </w:pPr>
            <w:r>
              <w:rPr>
                <w:rFonts w:hint="eastAsia" w:ascii="仿宋_GB2312" w:hAnsi="微软雅黑" w:eastAsia="仿宋_GB2312" w:cs="宋体"/>
                <w:kern w:val="0"/>
                <w:sz w:val="24"/>
                <w:szCs w:val="24"/>
              </w:rPr>
              <w:t>所有学分</w:t>
            </w:r>
          </w:p>
        </w:tc>
      </w:tr>
    </w:tbl>
    <w:p>
      <w:pPr>
        <w:widowControl/>
        <w:shd w:val="clear" w:color="auto" w:fill="FFFFFF"/>
        <w:spacing w:line="600" w:lineRule="exact"/>
        <w:ind w:firstLine="555"/>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（二）兑换顺序</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奖励学分的兑换按照专业课程、公共课程、补考课程、其它课程的顺序进行。</w:t>
      </w:r>
    </w:p>
    <w:p>
      <w:pPr>
        <w:widowControl/>
        <w:shd w:val="clear" w:color="auto" w:fill="FFFFFF"/>
        <w:spacing w:line="600" w:lineRule="exact"/>
        <w:ind w:firstLine="555"/>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（三）审批程序</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学院于每</w:t>
      </w:r>
      <w:r>
        <w:rPr>
          <w:rFonts w:ascii="Times New Roman" w:hAnsi="Times New Roman" w:eastAsia="仿宋_GB2312" w:cs="Times New Roman"/>
          <w:kern w:val="0"/>
          <w:sz w:val="32"/>
          <w:szCs w:val="32"/>
        </w:rPr>
        <w:t>学期5月下旬、11月</w:t>
      </w:r>
      <w:r>
        <w:rPr>
          <w:rFonts w:hint="eastAsia" w:ascii="仿宋_GB2312" w:hAnsi="微软雅黑" w:eastAsia="仿宋_GB2312" w:cs="宋体"/>
          <w:kern w:val="0"/>
          <w:sz w:val="32"/>
          <w:szCs w:val="32"/>
        </w:rPr>
        <w:t>下旬统一进行奖励学分的兑换，凡是申请“学分兑换”的学生要上交经相关部门审核通过后的获奖证书原件、复印件或其它证明材料，填写“湖南商务职业技术学院奖励学分兑换申请表”（附件</w:t>
      </w:r>
      <w:r>
        <w:rPr>
          <w:rFonts w:ascii="Times New Roman" w:hAnsi="Times New Roman" w:eastAsia="仿宋_GB2312" w:cs="Times New Roman"/>
          <w:kern w:val="0"/>
          <w:sz w:val="32"/>
          <w:szCs w:val="32"/>
        </w:rPr>
        <w:t>1</w:t>
      </w:r>
      <w:r>
        <w:rPr>
          <w:rFonts w:ascii="仿宋_GB2312" w:hAnsi="微软雅黑" w:eastAsia="仿宋_GB2312" w:cs="宋体"/>
          <w:kern w:val="0"/>
          <w:sz w:val="32"/>
          <w:szCs w:val="32"/>
        </w:rPr>
        <w:t>），各二级学院经再审核后，将符合条件学生</w:t>
      </w:r>
      <w:r>
        <w:rPr>
          <w:rFonts w:hint="eastAsia" w:ascii="仿宋_GB2312" w:hAnsi="微软雅黑" w:eastAsia="仿宋_GB2312" w:cs="宋体"/>
          <w:kern w:val="0"/>
          <w:sz w:val="32"/>
          <w:szCs w:val="32"/>
        </w:rPr>
        <w:t>的“湖南商务职业技术学院奖励学分兑换申请表”“湖南商</w:t>
      </w:r>
      <w:r>
        <w:rPr>
          <w:rFonts w:ascii="仿宋_GB2312" w:hAnsi="微软雅黑" w:eastAsia="仿宋_GB2312" w:cs="宋体"/>
          <w:kern w:val="0"/>
          <w:sz w:val="32"/>
          <w:szCs w:val="32"/>
        </w:rPr>
        <w:t>务职业技术学院奖励学分情况汇总表</w:t>
      </w:r>
      <w:r>
        <w:rPr>
          <w:rFonts w:hint="eastAsia" w:ascii="仿宋_GB2312" w:hAnsi="微软雅黑" w:eastAsia="仿宋_GB2312" w:cs="宋体"/>
          <w:kern w:val="0"/>
          <w:sz w:val="32"/>
          <w:szCs w:val="32"/>
        </w:rPr>
        <w:t>”（附件</w:t>
      </w:r>
      <w:r>
        <w:rPr>
          <w:rFonts w:ascii="Times New Roman" w:hAnsi="Times New Roman" w:eastAsia="仿宋_GB2312" w:cs="Times New Roman"/>
          <w:kern w:val="0"/>
          <w:sz w:val="32"/>
          <w:szCs w:val="32"/>
        </w:rPr>
        <w:t>2</w:t>
      </w:r>
      <w:r>
        <w:rPr>
          <w:rFonts w:hint="eastAsia" w:ascii="仿宋_GB2312" w:hAnsi="微软雅黑" w:eastAsia="仿宋_GB2312" w:cs="宋体"/>
          <w:kern w:val="0"/>
          <w:sz w:val="32"/>
          <w:szCs w:val="32"/>
        </w:rPr>
        <w:t>）等材料一式二份及“湖南商务职业技术学院奖励学分情况汇总表”</w:t>
      </w:r>
      <w:r>
        <w:rPr>
          <w:rFonts w:ascii="仿宋_GB2312" w:hAnsi="微软雅黑" w:eastAsia="仿宋_GB2312" w:cs="宋体"/>
          <w:kern w:val="0"/>
          <w:sz w:val="32"/>
          <w:szCs w:val="32"/>
        </w:rPr>
        <w:t>的电子文档报教务处审批。</w:t>
      </w:r>
    </w:p>
    <w:p>
      <w:pPr>
        <w:widowControl/>
        <w:shd w:val="clear" w:color="auto" w:fill="FFFFFF"/>
        <w:spacing w:line="600" w:lineRule="exact"/>
        <w:ind w:firstLine="555"/>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（四）成绩处理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奖励学分经学院审批通过后，在</w:t>
      </w:r>
      <w:r>
        <w:rPr>
          <w:rFonts w:hint="eastAsia" w:ascii="仿宋_GB2312" w:hAnsi="微软雅黑" w:eastAsia="仿宋_GB2312" w:cs="宋体"/>
          <w:kern w:val="0"/>
          <w:sz w:val="32"/>
          <w:szCs w:val="32"/>
        </w:rPr>
        <w:t>教育主管部门牵头主办的技能竞赛中获</w:t>
      </w:r>
      <w:r>
        <w:rPr>
          <w:rFonts w:ascii="仿宋_GB2312" w:hAnsi="微软雅黑" w:eastAsia="仿宋_GB2312" w:cs="宋体"/>
          <w:kern w:val="0"/>
          <w:sz w:val="32"/>
          <w:szCs w:val="32"/>
        </w:rPr>
        <w:t>省级一等奖及以上的</w:t>
      </w:r>
      <w:r>
        <w:rPr>
          <w:rFonts w:hint="eastAsia" w:ascii="仿宋_GB2312" w:hAnsi="微软雅黑" w:eastAsia="仿宋_GB2312" w:cs="宋体"/>
          <w:kern w:val="0"/>
          <w:sz w:val="32"/>
          <w:szCs w:val="32"/>
        </w:rPr>
        <w:t>奖励</w:t>
      </w:r>
      <w:r>
        <w:rPr>
          <w:rFonts w:ascii="仿宋_GB2312" w:hAnsi="微软雅黑" w:eastAsia="仿宋_GB2312" w:cs="宋体"/>
          <w:kern w:val="0"/>
          <w:sz w:val="32"/>
          <w:szCs w:val="32"/>
        </w:rPr>
        <w:t>学分兑换的课程</w:t>
      </w:r>
      <w:r>
        <w:rPr>
          <w:rFonts w:ascii="Times New Roman" w:hAnsi="Times New Roman" w:eastAsia="仿宋_GB2312" w:cs="Times New Roman"/>
          <w:kern w:val="0"/>
          <w:sz w:val="32"/>
          <w:szCs w:val="32"/>
        </w:rPr>
        <w:t>按95</w:t>
      </w:r>
      <w:r>
        <w:rPr>
          <w:rFonts w:ascii="仿宋_GB2312" w:hAnsi="微软雅黑" w:eastAsia="仿宋_GB2312" w:cs="宋体"/>
          <w:kern w:val="0"/>
          <w:sz w:val="32"/>
          <w:szCs w:val="32"/>
        </w:rPr>
        <w:t>分</w:t>
      </w:r>
      <w:r>
        <w:rPr>
          <w:rFonts w:hint="eastAsia" w:ascii="仿宋_GB2312" w:hAnsi="微软雅黑" w:eastAsia="仿宋_GB2312" w:cs="宋体"/>
          <w:kern w:val="0"/>
          <w:sz w:val="32"/>
          <w:szCs w:val="32"/>
        </w:rPr>
        <w:t>计入</w:t>
      </w:r>
      <w:r>
        <w:rPr>
          <w:rFonts w:ascii="仿宋_GB2312" w:hAnsi="微软雅黑" w:eastAsia="仿宋_GB2312" w:cs="宋体"/>
          <w:kern w:val="0"/>
          <w:sz w:val="32"/>
          <w:szCs w:val="32"/>
        </w:rPr>
        <w:t>学生成绩档案，其它各类奖励学分兑换的课程按</w:t>
      </w:r>
      <w:r>
        <w:rPr>
          <w:rFonts w:ascii="Times New Roman" w:hAnsi="Times New Roman" w:eastAsia="仿宋_GB2312" w:cs="Times New Roman"/>
          <w:kern w:val="0"/>
          <w:sz w:val="32"/>
          <w:szCs w:val="32"/>
        </w:rPr>
        <w:t>85</w:t>
      </w:r>
      <w:r>
        <w:rPr>
          <w:rFonts w:ascii="仿宋_GB2312" w:hAnsi="微软雅黑" w:eastAsia="仿宋_GB2312" w:cs="宋体"/>
          <w:kern w:val="0"/>
          <w:sz w:val="32"/>
          <w:szCs w:val="32"/>
        </w:rPr>
        <w:t>分记入学生成绩档案。</w:t>
      </w:r>
    </w:p>
    <w:p>
      <w:pPr>
        <w:widowControl/>
        <w:shd w:val="clear" w:color="auto" w:fill="FFFFFF"/>
        <w:spacing w:line="600" w:lineRule="exact"/>
        <w:ind w:firstLine="555"/>
        <w:textAlignment w:val="baseline"/>
        <w:rPr>
          <w:rFonts w:ascii="楷体_GB2312" w:hAnsi="Calibri" w:eastAsia="楷体_GB2312" w:cs="Calibri"/>
          <w:b/>
          <w:bCs/>
          <w:kern w:val="0"/>
          <w:sz w:val="32"/>
          <w:szCs w:val="32"/>
        </w:rPr>
      </w:pPr>
      <w:r>
        <w:rPr>
          <w:rFonts w:hint="eastAsia" w:ascii="楷体_GB2312" w:hAnsi="Calibri" w:eastAsia="楷体_GB2312" w:cs="Calibri"/>
          <w:b/>
          <w:bCs/>
          <w:kern w:val="0"/>
          <w:sz w:val="32"/>
          <w:szCs w:val="32"/>
        </w:rPr>
        <w:t>（五）资料存档</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各二级学院要将审批后“湖南商务职业技术学院奖励学分兑换申请表”“湖南商务职业技术学院奖励学分情况汇总表”、获奖证书复印件等材料按班级单独建档，教务处将在学生毕业前对认定的奖励学分兑换情况进行检查，凡弄虚作假者，取消该课程成绩，按考试“作弊”处理。</w:t>
      </w:r>
    </w:p>
    <w:p>
      <w:pPr>
        <w:widowControl/>
        <w:shd w:val="clear" w:color="auto" w:fill="FFFFFF"/>
        <w:spacing w:line="600" w:lineRule="exact"/>
        <w:ind w:firstLine="555"/>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本细则自颁布之日起执行，以前规定与本细则规定不符的，按本细则</w:t>
      </w:r>
      <w:r>
        <w:rPr>
          <w:rFonts w:hint="eastAsia" w:ascii="仿宋_GB2312" w:hAnsi="微软雅黑" w:eastAsia="仿宋_GB2312" w:cs="宋体"/>
          <w:kern w:val="0"/>
          <w:sz w:val="32"/>
          <w:szCs w:val="32"/>
        </w:rPr>
        <w:t>规定</w:t>
      </w:r>
      <w:r>
        <w:rPr>
          <w:rFonts w:ascii="仿宋_GB2312" w:hAnsi="微软雅黑" w:eastAsia="仿宋_GB2312" w:cs="宋体"/>
          <w:kern w:val="0"/>
          <w:sz w:val="32"/>
          <w:szCs w:val="32"/>
        </w:rPr>
        <w:t>执行。</w:t>
      </w:r>
    </w:p>
    <w:p>
      <w:pPr>
        <w:widowControl/>
        <w:shd w:val="clear" w:color="auto" w:fill="FFFFFF"/>
        <w:spacing w:line="600" w:lineRule="exact"/>
        <w:textAlignment w:val="baseline"/>
        <w:rPr>
          <w:rFonts w:ascii="Calibri" w:hAnsi="Calibri" w:eastAsia="微软雅黑" w:cs="Calibri"/>
          <w:kern w:val="0"/>
          <w:sz w:val="29"/>
          <w:szCs w:val="29"/>
        </w:rPr>
      </w:pPr>
    </w:p>
    <w:p>
      <w:pPr>
        <w:widowControl/>
        <w:shd w:val="clear" w:color="auto" w:fill="FFFFFF"/>
        <w:spacing w:line="600" w:lineRule="exact"/>
        <w:ind w:firstLine="640" w:firstLineChars="200"/>
        <w:textAlignment w:val="baseline"/>
        <w:rPr>
          <w:rFonts w:ascii="仿宋_GB2312" w:hAnsi="微软雅黑" w:eastAsia="仿宋_GB2312" w:cs="宋体"/>
          <w:kern w:val="0"/>
          <w:sz w:val="32"/>
          <w:szCs w:val="32"/>
        </w:rPr>
      </w:pPr>
      <w:r>
        <w:rPr>
          <w:rFonts w:ascii="仿宋_GB2312" w:hAnsi="微软雅黑" w:eastAsia="仿宋_GB2312" w:cs="宋体"/>
          <w:kern w:val="0"/>
          <w:sz w:val="32"/>
          <w:szCs w:val="32"/>
        </w:rPr>
        <w:t>附件：</w:t>
      </w:r>
      <w:r>
        <w:rPr>
          <w:rFonts w:hint="eastAsia" w:ascii="仿宋_GB2312" w:hAnsi="微软雅黑" w:eastAsia="仿宋_GB2312" w:cs="宋体"/>
          <w:kern w:val="0"/>
          <w:sz w:val="32"/>
          <w:szCs w:val="32"/>
        </w:rPr>
        <w:t>1.湖南商务职业技术学院奖励学分兑换申请表</w:t>
      </w:r>
    </w:p>
    <w:p>
      <w:pPr>
        <w:widowControl/>
        <w:shd w:val="clear" w:color="auto" w:fill="FFFFFF"/>
        <w:spacing w:line="600" w:lineRule="exact"/>
        <w:ind w:firstLine="1600" w:firstLineChars="5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2.湖南商务职业技术学院奖励学分情况汇总表</w:t>
      </w:r>
    </w:p>
    <w:p>
      <w:pPr>
        <w:sectPr>
          <w:footerReference r:id="rId3" w:type="default"/>
          <w:pgSz w:w="11906" w:h="16838"/>
          <w:pgMar w:top="1440" w:right="1800" w:bottom="1440" w:left="1800" w:header="851" w:footer="992" w:gutter="0"/>
          <w:cols w:space="425" w:num="1"/>
          <w:docGrid w:type="lines" w:linePitch="312" w:charSpace="0"/>
        </w:sectPr>
      </w:pPr>
    </w:p>
    <w:p>
      <w:pPr>
        <w:spacing w:line="400" w:lineRule="exact"/>
        <w:jc w:val="center"/>
        <w:rPr>
          <w:rFonts w:ascii="楷体_GB2312" w:eastAsia="楷体_GB2312"/>
          <w:b/>
          <w:sz w:val="32"/>
          <w:szCs w:val="32"/>
        </w:rPr>
      </w:pPr>
      <w:r>
        <w:rPr>
          <w:rFonts w:hint="eastAsia" w:ascii="楷体_GB2312" w:eastAsia="楷体_GB2312"/>
          <w:b/>
          <w:sz w:val="32"/>
          <w:szCs w:val="32"/>
        </w:rPr>
        <w:t>湖南商务职业技术学院学生奖励学分</w:t>
      </w:r>
      <w:r>
        <w:rPr>
          <w:rFonts w:ascii="楷体_GB2312" w:eastAsia="楷体_GB2312"/>
          <w:b/>
          <w:sz w:val="32"/>
          <w:szCs w:val="32"/>
        </w:rPr>
        <w:t>兑换</w:t>
      </w:r>
      <w:r>
        <w:rPr>
          <w:rFonts w:hint="eastAsia" w:ascii="楷体_GB2312" w:eastAsia="楷体_GB2312"/>
          <w:b/>
          <w:sz w:val="32"/>
          <w:szCs w:val="32"/>
        </w:rPr>
        <w:t>申请表</w:t>
      </w:r>
    </w:p>
    <w:p>
      <w:pPr>
        <w:rPr>
          <w:rFonts w:ascii="楷体_GB2312" w:eastAsia="楷体_GB2312"/>
          <w:sz w:val="24"/>
        </w:rPr>
      </w:pPr>
      <w:r>
        <w:rPr>
          <w:rFonts w:hint="eastAsia" w:ascii="楷体_GB2312" w:eastAsia="楷体_GB2312"/>
          <w:sz w:val="24"/>
        </w:rPr>
        <w:t>二级学院：</w:t>
      </w:r>
    </w:p>
    <w:tbl>
      <w:tblPr>
        <w:tblStyle w:val="6"/>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46"/>
        <w:gridCol w:w="1752"/>
        <w:gridCol w:w="1417"/>
        <w:gridCol w:w="104"/>
        <w:gridCol w:w="1785"/>
        <w:gridCol w:w="42"/>
        <w:gridCol w:w="121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0" w:type="dxa"/>
            <w:gridSpan w:val="2"/>
            <w:vAlign w:val="center"/>
          </w:tcPr>
          <w:p>
            <w:pPr>
              <w:rPr>
                <w:rFonts w:ascii="楷体_GB2312" w:eastAsia="楷体_GB2312"/>
                <w:sz w:val="24"/>
              </w:rPr>
            </w:pPr>
            <w:r>
              <w:rPr>
                <w:rFonts w:hint="eastAsia" w:ascii="楷体_GB2312" w:eastAsia="楷体_GB2312"/>
                <w:sz w:val="24"/>
              </w:rPr>
              <w:t>学生姓名</w:t>
            </w:r>
          </w:p>
        </w:tc>
        <w:tc>
          <w:tcPr>
            <w:tcW w:w="1752" w:type="dxa"/>
            <w:vAlign w:val="center"/>
          </w:tcPr>
          <w:p>
            <w:pPr>
              <w:rPr>
                <w:rFonts w:ascii="楷体_GB2312" w:eastAsia="楷体_GB2312"/>
                <w:sz w:val="24"/>
              </w:rPr>
            </w:pPr>
          </w:p>
        </w:tc>
        <w:tc>
          <w:tcPr>
            <w:tcW w:w="1417" w:type="dxa"/>
            <w:vAlign w:val="center"/>
          </w:tcPr>
          <w:p>
            <w:pPr>
              <w:widowControl/>
              <w:ind w:firstLine="240" w:firstLineChars="100"/>
              <w:rPr>
                <w:rFonts w:ascii="楷体_GB2312" w:eastAsia="楷体_GB2312"/>
                <w:sz w:val="24"/>
              </w:rPr>
            </w:pPr>
            <w:r>
              <w:rPr>
                <w:rFonts w:hint="eastAsia" w:ascii="楷体_GB2312" w:eastAsia="楷体_GB2312"/>
                <w:sz w:val="24"/>
              </w:rPr>
              <w:t>学号</w:t>
            </w:r>
          </w:p>
        </w:tc>
        <w:tc>
          <w:tcPr>
            <w:tcW w:w="1931" w:type="dxa"/>
            <w:gridSpan w:val="3"/>
            <w:vAlign w:val="center"/>
          </w:tcPr>
          <w:p>
            <w:pPr>
              <w:rPr>
                <w:rFonts w:ascii="楷体_GB2312" w:eastAsia="楷体_GB2312"/>
                <w:sz w:val="24"/>
              </w:rPr>
            </w:pPr>
          </w:p>
        </w:tc>
        <w:tc>
          <w:tcPr>
            <w:tcW w:w="2429" w:type="dxa"/>
            <w:gridSpan w:val="2"/>
            <w:vAlign w:val="center"/>
          </w:tcPr>
          <w:p>
            <w:pPr>
              <w:ind w:firstLine="480" w:firstLineChars="200"/>
              <w:rPr>
                <w:rFonts w:ascii="楷体_GB2312" w:eastAsia="楷体_GB2312"/>
                <w:sz w:val="24"/>
              </w:rPr>
            </w:pPr>
            <w:r>
              <w:rPr>
                <w:rFonts w:hint="eastAsia" w:ascii="楷体_GB2312" w:eastAsia="楷体_GB2312"/>
                <w:sz w:val="24"/>
              </w:rPr>
              <w:t>奖励总学分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gridSpan w:val="2"/>
            <w:vAlign w:val="center"/>
          </w:tcPr>
          <w:p>
            <w:pPr>
              <w:rPr>
                <w:rFonts w:ascii="楷体_GB2312" w:eastAsia="楷体_GB2312"/>
                <w:sz w:val="24"/>
              </w:rPr>
            </w:pPr>
            <w:r>
              <w:rPr>
                <w:rFonts w:hint="eastAsia" w:ascii="楷体_GB2312" w:eastAsia="楷体_GB2312"/>
                <w:sz w:val="24"/>
              </w:rPr>
              <w:t>专业</w:t>
            </w:r>
          </w:p>
        </w:tc>
        <w:tc>
          <w:tcPr>
            <w:tcW w:w="1752" w:type="dxa"/>
            <w:vAlign w:val="center"/>
          </w:tcPr>
          <w:p>
            <w:pPr>
              <w:rPr>
                <w:rFonts w:ascii="楷体_GB2312" w:eastAsia="楷体_GB2312"/>
                <w:sz w:val="24"/>
              </w:rPr>
            </w:pPr>
          </w:p>
        </w:tc>
        <w:tc>
          <w:tcPr>
            <w:tcW w:w="1417" w:type="dxa"/>
            <w:vAlign w:val="center"/>
          </w:tcPr>
          <w:p>
            <w:pPr>
              <w:ind w:firstLine="240" w:firstLineChars="100"/>
              <w:rPr>
                <w:rFonts w:ascii="楷体_GB2312" w:eastAsia="楷体_GB2312"/>
                <w:sz w:val="24"/>
              </w:rPr>
            </w:pPr>
            <w:r>
              <w:rPr>
                <w:rFonts w:hint="eastAsia" w:ascii="楷体_GB2312" w:eastAsia="楷体_GB2312"/>
                <w:sz w:val="24"/>
              </w:rPr>
              <w:t>年级</w:t>
            </w:r>
          </w:p>
        </w:tc>
        <w:tc>
          <w:tcPr>
            <w:tcW w:w="1931" w:type="dxa"/>
            <w:gridSpan w:val="3"/>
            <w:vAlign w:val="center"/>
          </w:tcPr>
          <w:p>
            <w:pPr>
              <w:rPr>
                <w:rFonts w:ascii="楷体_GB2312" w:eastAsia="楷体_GB2312"/>
                <w:sz w:val="24"/>
              </w:rPr>
            </w:pPr>
          </w:p>
        </w:tc>
        <w:tc>
          <w:tcPr>
            <w:tcW w:w="2429" w:type="dxa"/>
            <w:gridSpan w:val="2"/>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楷体_GB2312" w:eastAsia="楷体_GB2312"/>
                <w:sz w:val="24"/>
              </w:rPr>
            </w:pPr>
            <w:r>
              <w:rPr>
                <w:rFonts w:hint="eastAsia" w:ascii="楷体_GB2312" w:eastAsia="楷体_GB2312"/>
                <w:sz w:val="24"/>
              </w:rPr>
              <w:t>序号</w:t>
            </w:r>
          </w:p>
        </w:tc>
        <w:tc>
          <w:tcPr>
            <w:tcW w:w="3815" w:type="dxa"/>
            <w:gridSpan w:val="3"/>
            <w:vAlign w:val="center"/>
          </w:tcPr>
          <w:p>
            <w:pPr>
              <w:ind w:firstLine="240" w:firstLineChars="100"/>
              <w:rPr>
                <w:rFonts w:ascii="楷体_GB2312" w:eastAsia="楷体_GB2312"/>
                <w:sz w:val="24"/>
              </w:rPr>
            </w:pPr>
            <w:r>
              <w:rPr>
                <w:rFonts w:hint="eastAsia" w:ascii="楷体_GB2312" w:eastAsia="楷体_GB2312"/>
                <w:sz w:val="24"/>
              </w:rPr>
              <w:t>置换课程名称</w:t>
            </w:r>
          </w:p>
        </w:tc>
        <w:tc>
          <w:tcPr>
            <w:tcW w:w="1931" w:type="dxa"/>
            <w:gridSpan w:val="3"/>
            <w:vAlign w:val="center"/>
          </w:tcPr>
          <w:p>
            <w:pPr>
              <w:rPr>
                <w:rFonts w:ascii="楷体_GB2312" w:eastAsia="楷体_GB2312"/>
                <w:sz w:val="24"/>
              </w:rPr>
            </w:pPr>
            <w:r>
              <w:rPr>
                <w:rFonts w:hint="eastAsia" w:ascii="楷体_GB2312" w:eastAsia="楷体_GB2312"/>
                <w:sz w:val="24"/>
              </w:rPr>
              <w:t>课程学分</w:t>
            </w:r>
          </w:p>
        </w:tc>
        <w:tc>
          <w:tcPr>
            <w:tcW w:w="2429" w:type="dxa"/>
            <w:gridSpan w:val="2"/>
            <w:vAlign w:val="center"/>
          </w:tcPr>
          <w:p>
            <w:pPr>
              <w:rPr>
                <w:rFonts w:ascii="楷体_GB2312" w:eastAsia="楷体_GB2312"/>
                <w:sz w:val="24"/>
              </w:rPr>
            </w:pPr>
            <w:r>
              <w:rPr>
                <w:rFonts w:hint="eastAsia" w:ascii="楷体_GB2312" w:eastAsia="楷体_GB2312"/>
                <w:sz w:val="24"/>
              </w:rPr>
              <w:t>置换课程学分合计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1</w:t>
            </w:r>
          </w:p>
        </w:tc>
        <w:tc>
          <w:tcPr>
            <w:tcW w:w="3815" w:type="dxa"/>
            <w:gridSpan w:val="3"/>
            <w:vAlign w:val="center"/>
          </w:tcPr>
          <w:p>
            <w:pPr>
              <w:ind w:firstLine="240" w:firstLineChars="100"/>
              <w:rPr>
                <w:rFonts w:ascii="楷体_GB2312" w:eastAsia="楷体_GB2312"/>
                <w:sz w:val="24"/>
              </w:rPr>
            </w:pPr>
          </w:p>
        </w:tc>
        <w:tc>
          <w:tcPr>
            <w:tcW w:w="1931" w:type="dxa"/>
            <w:gridSpan w:val="3"/>
            <w:vAlign w:val="center"/>
          </w:tcPr>
          <w:p>
            <w:pPr>
              <w:rPr>
                <w:rFonts w:ascii="楷体_GB2312" w:eastAsia="楷体_GB2312"/>
                <w:sz w:val="24"/>
              </w:rPr>
            </w:pPr>
          </w:p>
        </w:tc>
        <w:tc>
          <w:tcPr>
            <w:tcW w:w="2429" w:type="dxa"/>
            <w:gridSpan w:val="2"/>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2</w:t>
            </w:r>
          </w:p>
        </w:tc>
        <w:tc>
          <w:tcPr>
            <w:tcW w:w="3815" w:type="dxa"/>
            <w:gridSpan w:val="3"/>
            <w:vAlign w:val="center"/>
          </w:tcPr>
          <w:p>
            <w:pPr>
              <w:ind w:firstLine="240" w:firstLineChars="100"/>
              <w:rPr>
                <w:rFonts w:ascii="楷体_GB2312" w:eastAsia="楷体_GB2312"/>
                <w:sz w:val="24"/>
              </w:rPr>
            </w:pPr>
          </w:p>
        </w:tc>
        <w:tc>
          <w:tcPr>
            <w:tcW w:w="1931" w:type="dxa"/>
            <w:gridSpan w:val="3"/>
            <w:vAlign w:val="center"/>
          </w:tcPr>
          <w:p>
            <w:pPr>
              <w:rPr>
                <w:rFonts w:ascii="楷体_GB2312" w:eastAsia="楷体_GB2312"/>
                <w:sz w:val="24"/>
              </w:rPr>
            </w:pPr>
          </w:p>
        </w:tc>
        <w:tc>
          <w:tcPr>
            <w:tcW w:w="2429" w:type="dxa"/>
            <w:gridSpan w:val="2"/>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3</w:t>
            </w:r>
          </w:p>
        </w:tc>
        <w:tc>
          <w:tcPr>
            <w:tcW w:w="3815" w:type="dxa"/>
            <w:gridSpan w:val="3"/>
            <w:vAlign w:val="center"/>
          </w:tcPr>
          <w:p>
            <w:pPr>
              <w:ind w:firstLine="240" w:firstLineChars="100"/>
              <w:rPr>
                <w:rFonts w:ascii="楷体_GB2312" w:eastAsia="楷体_GB2312"/>
                <w:sz w:val="24"/>
              </w:rPr>
            </w:pPr>
          </w:p>
        </w:tc>
        <w:tc>
          <w:tcPr>
            <w:tcW w:w="1931" w:type="dxa"/>
            <w:gridSpan w:val="3"/>
            <w:vAlign w:val="center"/>
          </w:tcPr>
          <w:p>
            <w:pPr>
              <w:rPr>
                <w:rFonts w:ascii="楷体_GB2312" w:eastAsia="楷体_GB2312"/>
                <w:sz w:val="24"/>
              </w:rPr>
            </w:pPr>
          </w:p>
        </w:tc>
        <w:tc>
          <w:tcPr>
            <w:tcW w:w="2429" w:type="dxa"/>
            <w:gridSpan w:val="2"/>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4</w:t>
            </w:r>
          </w:p>
        </w:tc>
        <w:tc>
          <w:tcPr>
            <w:tcW w:w="3815" w:type="dxa"/>
            <w:gridSpan w:val="3"/>
            <w:vAlign w:val="center"/>
          </w:tcPr>
          <w:p>
            <w:pPr>
              <w:ind w:firstLine="240" w:firstLineChars="100"/>
              <w:rPr>
                <w:rFonts w:ascii="楷体_GB2312" w:eastAsia="楷体_GB2312"/>
                <w:sz w:val="24"/>
              </w:rPr>
            </w:pPr>
          </w:p>
        </w:tc>
        <w:tc>
          <w:tcPr>
            <w:tcW w:w="1931" w:type="dxa"/>
            <w:gridSpan w:val="3"/>
            <w:vAlign w:val="center"/>
          </w:tcPr>
          <w:p>
            <w:pPr>
              <w:rPr>
                <w:rFonts w:ascii="楷体_GB2312" w:eastAsia="楷体_GB2312"/>
                <w:sz w:val="24"/>
              </w:rPr>
            </w:pPr>
          </w:p>
        </w:tc>
        <w:tc>
          <w:tcPr>
            <w:tcW w:w="2429" w:type="dxa"/>
            <w:gridSpan w:val="2"/>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5</w:t>
            </w:r>
          </w:p>
        </w:tc>
        <w:tc>
          <w:tcPr>
            <w:tcW w:w="3815" w:type="dxa"/>
            <w:gridSpan w:val="3"/>
            <w:vAlign w:val="center"/>
          </w:tcPr>
          <w:p>
            <w:pPr>
              <w:ind w:firstLine="240" w:firstLineChars="100"/>
              <w:rPr>
                <w:rFonts w:ascii="楷体_GB2312" w:eastAsia="楷体_GB2312"/>
                <w:sz w:val="24"/>
              </w:rPr>
            </w:pPr>
          </w:p>
        </w:tc>
        <w:tc>
          <w:tcPr>
            <w:tcW w:w="1931" w:type="dxa"/>
            <w:gridSpan w:val="3"/>
            <w:vAlign w:val="center"/>
          </w:tcPr>
          <w:p>
            <w:pPr>
              <w:rPr>
                <w:rFonts w:ascii="楷体_GB2312" w:eastAsia="楷体_GB2312"/>
                <w:sz w:val="24"/>
              </w:rPr>
            </w:pPr>
          </w:p>
        </w:tc>
        <w:tc>
          <w:tcPr>
            <w:tcW w:w="2429" w:type="dxa"/>
            <w:gridSpan w:val="2"/>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9" w:type="dxa"/>
            <w:gridSpan w:val="9"/>
            <w:vAlign w:val="center"/>
          </w:tcPr>
          <w:p>
            <w:pPr>
              <w:rPr>
                <w:rFonts w:ascii="楷体_GB2312" w:eastAsia="楷体_GB2312"/>
                <w:sz w:val="24"/>
              </w:rPr>
            </w:pPr>
            <w:r>
              <w:rPr>
                <w:rFonts w:hint="eastAsia" w:ascii="楷体_GB2312" w:eastAsia="楷体_GB2312"/>
                <w:sz w:val="24"/>
              </w:rPr>
              <w:t>学分认定部分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4" w:type="dxa"/>
            <w:vAlign w:val="center"/>
          </w:tcPr>
          <w:p>
            <w:pPr>
              <w:rPr>
                <w:rFonts w:ascii="楷体_GB2312" w:eastAsia="楷体_GB2312"/>
                <w:szCs w:val="21"/>
              </w:rPr>
            </w:pPr>
            <w:r>
              <w:rPr>
                <w:rFonts w:hint="eastAsia" w:ascii="楷体_GB2312" w:eastAsia="楷体_GB2312"/>
                <w:szCs w:val="21"/>
              </w:rPr>
              <w:t>序号</w:t>
            </w:r>
          </w:p>
        </w:tc>
        <w:tc>
          <w:tcPr>
            <w:tcW w:w="3919" w:type="dxa"/>
            <w:gridSpan w:val="4"/>
            <w:vAlign w:val="center"/>
          </w:tcPr>
          <w:p>
            <w:pPr>
              <w:rPr>
                <w:rFonts w:ascii="楷体_GB2312" w:eastAsia="楷体_GB2312"/>
                <w:szCs w:val="21"/>
              </w:rPr>
            </w:pPr>
            <w:r>
              <w:rPr>
                <w:rFonts w:hint="eastAsia" w:ascii="楷体_GB2312" w:eastAsia="楷体_GB2312"/>
                <w:szCs w:val="21"/>
              </w:rPr>
              <w:t>学生申请成果/项目名称（填全称）</w:t>
            </w:r>
          </w:p>
        </w:tc>
        <w:tc>
          <w:tcPr>
            <w:tcW w:w="1785" w:type="dxa"/>
            <w:vAlign w:val="center"/>
          </w:tcPr>
          <w:p>
            <w:pPr>
              <w:rPr>
                <w:rFonts w:ascii="楷体_GB2312" w:eastAsia="楷体_GB2312"/>
                <w:szCs w:val="21"/>
              </w:rPr>
            </w:pPr>
            <w:r>
              <w:rPr>
                <w:rFonts w:hint="eastAsia" w:ascii="楷体_GB2312" w:eastAsia="楷体_GB2312"/>
                <w:szCs w:val="21"/>
              </w:rPr>
              <w:t>成果等级(位次)/实践时间</w:t>
            </w:r>
          </w:p>
        </w:tc>
        <w:tc>
          <w:tcPr>
            <w:tcW w:w="1260" w:type="dxa"/>
            <w:gridSpan w:val="2"/>
            <w:vAlign w:val="center"/>
          </w:tcPr>
          <w:p>
            <w:pPr>
              <w:rPr>
                <w:rFonts w:ascii="楷体_GB2312" w:eastAsia="楷体_GB2312"/>
                <w:szCs w:val="21"/>
              </w:rPr>
            </w:pPr>
            <w:r>
              <w:rPr>
                <w:rFonts w:hint="eastAsia" w:ascii="楷体_GB2312" w:eastAsia="楷体_GB2312"/>
                <w:szCs w:val="21"/>
              </w:rPr>
              <w:t>申请学分</w:t>
            </w:r>
          </w:p>
        </w:tc>
        <w:tc>
          <w:tcPr>
            <w:tcW w:w="1211" w:type="dxa"/>
            <w:vAlign w:val="center"/>
          </w:tcPr>
          <w:p>
            <w:pPr>
              <w:rPr>
                <w:rFonts w:ascii="楷体_GB2312" w:eastAsia="楷体_GB2312"/>
                <w:szCs w:val="21"/>
              </w:rPr>
            </w:pPr>
            <w:r>
              <w:rPr>
                <w:rFonts w:hint="eastAsia" w:ascii="楷体_GB2312" w:eastAsia="楷体_GB2312"/>
                <w:szCs w:val="21"/>
              </w:rPr>
              <w:t>认定学分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1</w:t>
            </w:r>
          </w:p>
        </w:tc>
        <w:tc>
          <w:tcPr>
            <w:tcW w:w="3919" w:type="dxa"/>
            <w:gridSpan w:val="4"/>
            <w:vAlign w:val="center"/>
          </w:tcPr>
          <w:p>
            <w:pPr>
              <w:ind w:firstLine="240" w:firstLineChars="100"/>
              <w:rPr>
                <w:rFonts w:ascii="楷体_GB2312" w:eastAsia="楷体_GB2312"/>
                <w:sz w:val="24"/>
              </w:rPr>
            </w:pPr>
          </w:p>
        </w:tc>
        <w:tc>
          <w:tcPr>
            <w:tcW w:w="1785" w:type="dxa"/>
            <w:vAlign w:val="center"/>
          </w:tcPr>
          <w:p>
            <w:pPr>
              <w:ind w:firstLine="240" w:firstLineChars="100"/>
              <w:rPr>
                <w:rFonts w:ascii="楷体_GB2312" w:eastAsia="楷体_GB2312"/>
                <w:sz w:val="24"/>
              </w:rPr>
            </w:pPr>
          </w:p>
        </w:tc>
        <w:tc>
          <w:tcPr>
            <w:tcW w:w="1260" w:type="dxa"/>
            <w:gridSpan w:val="2"/>
            <w:vAlign w:val="center"/>
          </w:tcPr>
          <w:p>
            <w:pPr>
              <w:ind w:firstLine="240" w:firstLineChars="100"/>
              <w:rPr>
                <w:rFonts w:ascii="楷体_GB2312" w:eastAsia="楷体_GB2312"/>
                <w:sz w:val="24"/>
              </w:rPr>
            </w:pPr>
          </w:p>
        </w:tc>
        <w:tc>
          <w:tcPr>
            <w:tcW w:w="1211" w:type="dxa"/>
            <w:vAlign w:val="center"/>
          </w:tcPr>
          <w:p>
            <w:pPr>
              <w:ind w:firstLine="240" w:firstLineChars="1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2</w:t>
            </w:r>
          </w:p>
        </w:tc>
        <w:tc>
          <w:tcPr>
            <w:tcW w:w="3919" w:type="dxa"/>
            <w:gridSpan w:val="4"/>
            <w:vAlign w:val="center"/>
          </w:tcPr>
          <w:p>
            <w:pPr>
              <w:ind w:firstLine="240" w:firstLineChars="100"/>
              <w:rPr>
                <w:rFonts w:ascii="楷体_GB2312" w:eastAsia="楷体_GB2312"/>
                <w:sz w:val="24"/>
              </w:rPr>
            </w:pPr>
          </w:p>
        </w:tc>
        <w:tc>
          <w:tcPr>
            <w:tcW w:w="1785" w:type="dxa"/>
            <w:vAlign w:val="center"/>
          </w:tcPr>
          <w:p>
            <w:pPr>
              <w:ind w:firstLine="240" w:firstLineChars="100"/>
              <w:rPr>
                <w:rFonts w:ascii="楷体_GB2312" w:eastAsia="楷体_GB2312"/>
                <w:sz w:val="24"/>
              </w:rPr>
            </w:pPr>
          </w:p>
        </w:tc>
        <w:tc>
          <w:tcPr>
            <w:tcW w:w="1260" w:type="dxa"/>
            <w:gridSpan w:val="2"/>
            <w:vAlign w:val="center"/>
          </w:tcPr>
          <w:p>
            <w:pPr>
              <w:ind w:firstLine="240" w:firstLineChars="100"/>
              <w:rPr>
                <w:rFonts w:ascii="楷体_GB2312" w:eastAsia="楷体_GB2312"/>
                <w:sz w:val="24"/>
              </w:rPr>
            </w:pPr>
          </w:p>
        </w:tc>
        <w:tc>
          <w:tcPr>
            <w:tcW w:w="1211" w:type="dxa"/>
            <w:vAlign w:val="center"/>
          </w:tcPr>
          <w:p>
            <w:pPr>
              <w:ind w:firstLine="240" w:firstLineChars="1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3</w:t>
            </w:r>
          </w:p>
        </w:tc>
        <w:tc>
          <w:tcPr>
            <w:tcW w:w="3919" w:type="dxa"/>
            <w:gridSpan w:val="4"/>
            <w:vAlign w:val="center"/>
          </w:tcPr>
          <w:p>
            <w:pPr>
              <w:ind w:firstLine="240" w:firstLineChars="100"/>
              <w:rPr>
                <w:rFonts w:ascii="楷体_GB2312" w:eastAsia="楷体_GB2312"/>
                <w:sz w:val="24"/>
              </w:rPr>
            </w:pPr>
          </w:p>
        </w:tc>
        <w:tc>
          <w:tcPr>
            <w:tcW w:w="1785" w:type="dxa"/>
            <w:vAlign w:val="center"/>
          </w:tcPr>
          <w:p>
            <w:pPr>
              <w:ind w:firstLine="240" w:firstLineChars="100"/>
              <w:rPr>
                <w:rFonts w:ascii="楷体_GB2312" w:eastAsia="楷体_GB2312"/>
                <w:sz w:val="24"/>
              </w:rPr>
            </w:pPr>
          </w:p>
        </w:tc>
        <w:tc>
          <w:tcPr>
            <w:tcW w:w="1260" w:type="dxa"/>
            <w:gridSpan w:val="2"/>
            <w:vAlign w:val="center"/>
          </w:tcPr>
          <w:p>
            <w:pPr>
              <w:ind w:firstLine="240" w:firstLineChars="100"/>
              <w:rPr>
                <w:rFonts w:ascii="楷体_GB2312" w:eastAsia="楷体_GB2312"/>
                <w:sz w:val="24"/>
              </w:rPr>
            </w:pPr>
          </w:p>
        </w:tc>
        <w:tc>
          <w:tcPr>
            <w:tcW w:w="1211" w:type="dxa"/>
            <w:vAlign w:val="center"/>
          </w:tcPr>
          <w:p>
            <w:pPr>
              <w:ind w:firstLine="240" w:firstLineChars="1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4</w:t>
            </w:r>
          </w:p>
        </w:tc>
        <w:tc>
          <w:tcPr>
            <w:tcW w:w="3919" w:type="dxa"/>
            <w:gridSpan w:val="4"/>
            <w:vAlign w:val="center"/>
          </w:tcPr>
          <w:p>
            <w:pPr>
              <w:ind w:firstLine="240" w:firstLineChars="100"/>
              <w:rPr>
                <w:rFonts w:ascii="楷体_GB2312" w:eastAsia="楷体_GB2312"/>
                <w:sz w:val="24"/>
              </w:rPr>
            </w:pPr>
          </w:p>
        </w:tc>
        <w:tc>
          <w:tcPr>
            <w:tcW w:w="1785" w:type="dxa"/>
            <w:vAlign w:val="center"/>
          </w:tcPr>
          <w:p>
            <w:pPr>
              <w:ind w:firstLine="240" w:firstLineChars="100"/>
              <w:rPr>
                <w:rFonts w:ascii="楷体_GB2312" w:eastAsia="楷体_GB2312"/>
                <w:sz w:val="24"/>
              </w:rPr>
            </w:pPr>
          </w:p>
        </w:tc>
        <w:tc>
          <w:tcPr>
            <w:tcW w:w="1260" w:type="dxa"/>
            <w:gridSpan w:val="2"/>
            <w:vAlign w:val="center"/>
          </w:tcPr>
          <w:p>
            <w:pPr>
              <w:ind w:firstLine="240" w:firstLineChars="100"/>
              <w:rPr>
                <w:rFonts w:ascii="楷体_GB2312" w:eastAsia="楷体_GB2312"/>
                <w:sz w:val="24"/>
              </w:rPr>
            </w:pPr>
          </w:p>
        </w:tc>
        <w:tc>
          <w:tcPr>
            <w:tcW w:w="1211" w:type="dxa"/>
            <w:vAlign w:val="center"/>
          </w:tcPr>
          <w:p>
            <w:pPr>
              <w:ind w:firstLine="240" w:firstLineChars="1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ind w:firstLine="240" w:firstLineChars="100"/>
              <w:rPr>
                <w:rFonts w:ascii="楷体_GB2312" w:eastAsia="楷体_GB2312"/>
                <w:sz w:val="24"/>
              </w:rPr>
            </w:pPr>
            <w:r>
              <w:rPr>
                <w:rFonts w:hint="eastAsia" w:ascii="楷体_GB2312" w:eastAsia="楷体_GB2312"/>
                <w:sz w:val="24"/>
              </w:rPr>
              <w:t>5</w:t>
            </w:r>
          </w:p>
        </w:tc>
        <w:tc>
          <w:tcPr>
            <w:tcW w:w="3919" w:type="dxa"/>
            <w:gridSpan w:val="4"/>
            <w:vAlign w:val="center"/>
          </w:tcPr>
          <w:p>
            <w:pPr>
              <w:ind w:firstLine="240" w:firstLineChars="100"/>
              <w:rPr>
                <w:rFonts w:ascii="楷体_GB2312" w:eastAsia="楷体_GB2312"/>
                <w:sz w:val="24"/>
              </w:rPr>
            </w:pPr>
          </w:p>
        </w:tc>
        <w:tc>
          <w:tcPr>
            <w:tcW w:w="1785" w:type="dxa"/>
            <w:vAlign w:val="center"/>
          </w:tcPr>
          <w:p>
            <w:pPr>
              <w:ind w:firstLine="240" w:firstLineChars="100"/>
              <w:rPr>
                <w:rFonts w:ascii="楷体_GB2312" w:eastAsia="楷体_GB2312"/>
                <w:sz w:val="24"/>
              </w:rPr>
            </w:pPr>
          </w:p>
        </w:tc>
        <w:tc>
          <w:tcPr>
            <w:tcW w:w="1260" w:type="dxa"/>
            <w:gridSpan w:val="2"/>
            <w:vAlign w:val="center"/>
          </w:tcPr>
          <w:p>
            <w:pPr>
              <w:ind w:firstLine="240" w:firstLineChars="100"/>
              <w:rPr>
                <w:rFonts w:ascii="楷体_GB2312" w:eastAsia="楷体_GB2312"/>
                <w:sz w:val="24"/>
              </w:rPr>
            </w:pPr>
          </w:p>
        </w:tc>
        <w:tc>
          <w:tcPr>
            <w:tcW w:w="1211" w:type="dxa"/>
            <w:vAlign w:val="center"/>
          </w:tcPr>
          <w:p>
            <w:pPr>
              <w:ind w:firstLine="240" w:firstLineChars="1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704" w:type="dxa"/>
            <w:vAlign w:val="center"/>
          </w:tcPr>
          <w:p>
            <w:pPr>
              <w:jc w:val="left"/>
              <w:rPr>
                <w:rFonts w:ascii="楷体_GB2312" w:eastAsia="楷体_GB2312"/>
                <w:sz w:val="24"/>
              </w:rPr>
            </w:pPr>
            <w:r>
              <w:rPr>
                <w:rFonts w:hint="eastAsia" w:ascii="楷体_GB2312" w:eastAsia="楷体_GB2312"/>
                <w:szCs w:val="21"/>
              </w:rPr>
              <w:t>申请理由</w:t>
            </w:r>
          </w:p>
        </w:tc>
        <w:tc>
          <w:tcPr>
            <w:tcW w:w="8175" w:type="dxa"/>
            <w:gridSpan w:val="8"/>
            <w:vAlign w:val="center"/>
          </w:tcPr>
          <w:p>
            <w:pPr>
              <w:rPr>
                <w:rFonts w:ascii="楷体_GB2312" w:eastAsia="楷体_GB2312"/>
                <w:sz w:val="24"/>
              </w:rPr>
            </w:pPr>
            <w:r>
              <w:rPr>
                <w:rFonts w:hint="eastAsia" w:ascii="楷体_GB2312" w:eastAsia="楷体_GB2312"/>
                <w:sz w:val="24"/>
              </w:rPr>
              <w:t xml:space="preserve"> </w:t>
            </w: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                                      申请人：</w:t>
            </w:r>
          </w:p>
          <w:p>
            <w:pPr>
              <w:ind w:firstLine="240" w:firstLineChars="100"/>
              <w:rPr>
                <w:rFonts w:ascii="楷体_GB2312" w:eastAsia="楷体_GB2312"/>
                <w:sz w:val="24"/>
              </w:rPr>
            </w:pPr>
            <w:r>
              <w:rPr>
                <w:rFonts w:hint="eastAsia" w:ascii="楷体_GB2312"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704" w:type="dxa"/>
            <w:vAlign w:val="center"/>
          </w:tcPr>
          <w:p>
            <w:pPr>
              <w:jc w:val="left"/>
              <w:rPr>
                <w:rFonts w:ascii="楷体_GB2312" w:eastAsia="楷体_GB2312"/>
                <w:szCs w:val="21"/>
              </w:rPr>
            </w:pPr>
            <w:r>
              <w:rPr>
                <w:rFonts w:hint="eastAsia" w:ascii="楷体_GB2312" w:eastAsia="楷体_GB2312"/>
                <w:szCs w:val="21"/>
              </w:rPr>
              <w:t>审核部门意见</w:t>
            </w:r>
          </w:p>
        </w:tc>
        <w:tc>
          <w:tcPr>
            <w:tcW w:w="8175" w:type="dxa"/>
            <w:gridSpan w:val="8"/>
            <w:vAlign w:val="center"/>
          </w:tcPr>
          <w:p>
            <w:pPr>
              <w:ind w:firstLine="3360" w:firstLineChars="1600"/>
              <w:rPr>
                <w:rFonts w:ascii="楷体_GB2312" w:hAnsi="宋体" w:eastAsia="楷体_GB2312"/>
                <w:szCs w:val="21"/>
              </w:rPr>
            </w:pPr>
          </w:p>
          <w:p>
            <w:pPr>
              <w:ind w:firstLine="3360" w:firstLineChars="1600"/>
              <w:rPr>
                <w:rFonts w:ascii="楷体_GB2312" w:hAnsi="宋体" w:eastAsia="楷体_GB2312"/>
                <w:szCs w:val="21"/>
              </w:rPr>
            </w:pPr>
          </w:p>
          <w:p>
            <w:pPr>
              <w:rPr>
                <w:rFonts w:ascii="楷体_GB2312" w:hAnsi="宋体" w:eastAsia="楷体_GB2312"/>
                <w:szCs w:val="21"/>
              </w:rPr>
            </w:pPr>
          </w:p>
          <w:p>
            <w:pPr>
              <w:ind w:firstLine="3780" w:firstLineChars="1800"/>
              <w:rPr>
                <w:rFonts w:ascii="楷体_GB2312" w:hAnsi="宋体" w:eastAsia="楷体_GB2312"/>
                <w:szCs w:val="21"/>
              </w:rPr>
            </w:pPr>
            <w:r>
              <w:rPr>
                <w:rFonts w:hint="eastAsia" w:ascii="楷体_GB2312" w:hAnsi="宋体" w:eastAsia="楷体_GB2312"/>
                <w:szCs w:val="21"/>
              </w:rPr>
              <w:t xml:space="preserve">审核人签名：          </w:t>
            </w:r>
          </w:p>
          <w:p>
            <w:pPr>
              <w:ind w:firstLine="6510" w:firstLineChars="3100"/>
              <w:rPr>
                <w:rFonts w:ascii="楷体_GB2312" w:hAnsi="宋体" w:eastAsia="楷体_GB2312"/>
                <w:szCs w:val="21"/>
              </w:rPr>
            </w:pPr>
            <w:r>
              <w:rPr>
                <w:rFonts w:hint="eastAsia" w:ascii="楷体_GB2312" w:hAnsi="宋体" w:eastAsia="楷体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704" w:type="dxa"/>
            <w:vAlign w:val="center"/>
          </w:tcPr>
          <w:p>
            <w:pPr>
              <w:jc w:val="left"/>
              <w:rPr>
                <w:rFonts w:ascii="楷体_GB2312" w:eastAsia="楷体_GB2312"/>
                <w:szCs w:val="21"/>
              </w:rPr>
            </w:pPr>
            <w:r>
              <w:rPr>
                <w:rFonts w:hint="eastAsia" w:ascii="楷体_GB2312" w:eastAsia="楷体_GB2312"/>
                <w:szCs w:val="21"/>
              </w:rPr>
              <w:t>二级学院认定意见</w:t>
            </w:r>
          </w:p>
        </w:tc>
        <w:tc>
          <w:tcPr>
            <w:tcW w:w="8175" w:type="dxa"/>
            <w:gridSpan w:val="8"/>
            <w:vAlign w:val="center"/>
          </w:tcPr>
          <w:p>
            <w:pPr>
              <w:rPr>
                <w:rFonts w:ascii="楷体_GB2312" w:hAnsi="宋体" w:eastAsia="楷体_GB2312"/>
                <w:szCs w:val="21"/>
              </w:rPr>
            </w:pPr>
          </w:p>
          <w:p>
            <w:pPr>
              <w:rPr>
                <w:rFonts w:ascii="楷体_GB2312" w:hAnsi="宋体" w:eastAsia="楷体_GB2312"/>
                <w:szCs w:val="21"/>
              </w:rPr>
            </w:pPr>
          </w:p>
          <w:p>
            <w:pPr>
              <w:rPr>
                <w:rFonts w:ascii="楷体_GB2312" w:hAnsi="宋体" w:eastAsia="楷体_GB2312"/>
                <w:szCs w:val="21"/>
              </w:rPr>
            </w:pPr>
          </w:p>
          <w:p>
            <w:pPr>
              <w:rPr>
                <w:rFonts w:ascii="楷体_GB2312" w:hAnsi="宋体" w:eastAsia="楷体_GB2312"/>
                <w:szCs w:val="21"/>
              </w:rPr>
            </w:pPr>
          </w:p>
          <w:p>
            <w:pPr>
              <w:rPr>
                <w:rFonts w:ascii="楷体_GB2312" w:hAnsi="宋体" w:eastAsia="楷体_GB2312"/>
                <w:szCs w:val="21"/>
              </w:rPr>
            </w:pPr>
            <w:r>
              <w:rPr>
                <w:rFonts w:hint="eastAsia" w:ascii="楷体_GB2312" w:hAnsi="宋体" w:eastAsia="楷体_GB2312"/>
                <w:szCs w:val="21"/>
              </w:rPr>
              <w:t xml:space="preserve">                             </w:t>
            </w:r>
            <w:r>
              <w:rPr>
                <w:rFonts w:ascii="楷体_GB2312" w:hAnsi="宋体" w:eastAsia="楷体_GB2312"/>
                <w:szCs w:val="21"/>
              </w:rPr>
              <w:t xml:space="preserve">       </w:t>
            </w:r>
            <w:r>
              <w:rPr>
                <w:rFonts w:hint="eastAsia" w:ascii="楷体_GB2312" w:hAnsi="宋体" w:eastAsia="楷体_GB2312"/>
                <w:szCs w:val="21"/>
              </w:rPr>
              <w:t xml:space="preserve"> 二级学院院长签名：           </w:t>
            </w:r>
          </w:p>
          <w:p>
            <w:pPr>
              <w:rPr>
                <w:rFonts w:ascii="楷体_GB2312" w:hAnsi="宋体" w:eastAsia="楷体_GB2312"/>
                <w:szCs w:val="21"/>
              </w:rPr>
            </w:pPr>
            <w:r>
              <w:rPr>
                <w:rFonts w:hint="eastAsia" w:ascii="楷体_GB2312" w:hAnsi="宋体" w:eastAsia="楷体_GB2312"/>
                <w:szCs w:val="21"/>
              </w:rPr>
              <w:t xml:space="preserve">                           </w:t>
            </w:r>
            <w:r>
              <w:rPr>
                <w:rFonts w:ascii="楷体_GB2312" w:hAnsi="宋体" w:eastAsia="楷体_GB2312"/>
                <w:szCs w:val="21"/>
              </w:rPr>
              <w:t xml:space="preserve"> </w:t>
            </w:r>
            <w:r>
              <w:rPr>
                <w:rFonts w:hint="eastAsia" w:ascii="楷体_GB2312" w:hAnsi="宋体" w:eastAsia="楷体_GB2312"/>
                <w:szCs w:val="21"/>
              </w:rPr>
              <w:t xml:space="preserve">                                  年   月   日</w:t>
            </w:r>
          </w:p>
        </w:tc>
      </w:tr>
    </w:tbl>
    <w:p>
      <w:pPr>
        <w:sectPr>
          <w:pgSz w:w="11906" w:h="16838"/>
          <w:pgMar w:top="1440" w:right="1800" w:bottom="1440" w:left="1800" w:header="851" w:footer="992" w:gutter="0"/>
          <w:cols w:space="425" w:num="1"/>
          <w:docGrid w:type="lines" w:linePitch="312" w:charSpace="0"/>
        </w:sectPr>
      </w:pPr>
    </w:p>
    <w:tbl>
      <w:tblPr>
        <w:tblStyle w:val="6"/>
        <w:tblpPr w:leftFromText="180" w:rightFromText="180" w:vertAnchor="text" w:horzAnchor="margin" w:tblpXSpec="center" w:tblpY="713"/>
        <w:tblOverlap w:val="never"/>
        <w:tblW w:w="15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560"/>
        <w:gridCol w:w="992"/>
        <w:gridCol w:w="709"/>
        <w:gridCol w:w="1423"/>
        <w:gridCol w:w="1695"/>
        <w:gridCol w:w="2167"/>
        <w:gridCol w:w="1931"/>
        <w:gridCol w:w="1714"/>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学生姓名</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学号</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ind w:firstLine="280" w:firstLineChars="100"/>
              <w:jc w:val="center"/>
              <w:rPr>
                <w:rFonts w:ascii="楷体_GB2312" w:hAnsi="Calibri" w:eastAsia="楷体_GB2312" w:cs="Times New Roman"/>
                <w:sz w:val="28"/>
                <w:szCs w:val="28"/>
              </w:rPr>
            </w:pPr>
            <w:r>
              <w:rPr>
                <w:rFonts w:ascii="楷体_GB2312" w:hAnsi="Calibri" w:eastAsia="楷体_GB2312" w:cs="Times New Roman"/>
                <w:sz w:val="28"/>
                <w:szCs w:val="28"/>
                <w:lang w:bidi="ar"/>
              </w:rPr>
              <w:t>专业</w:t>
            </w:r>
          </w:p>
        </w:tc>
        <w:tc>
          <w:tcPr>
            <w:tcW w:w="1695"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年级</w:t>
            </w:r>
          </w:p>
        </w:tc>
        <w:tc>
          <w:tcPr>
            <w:tcW w:w="2167"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奖励总学分</w:t>
            </w:r>
          </w:p>
        </w:tc>
        <w:tc>
          <w:tcPr>
            <w:tcW w:w="1931"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置换课程名称</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课程学分</w:t>
            </w:r>
          </w:p>
        </w:tc>
        <w:tc>
          <w:tcPr>
            <w:tcW w:w="2646"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置换课程学分合计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560"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423" w:type="dxa"/>
            <w:tcBorders>
              <w:top w:val="single" w:color="auto" w:sz="4" w:space="0"/>
              <w:left w:val="nil"/>
              <w:bottom w:val="single" w:color="auto" w:sz="4" w:space="0"/>
              <w:right w:val="single" w:color="auto" w:sz="4" w:space="0"/>
            </w:tcBorders>
            <w:shd w:val="clear" w:color="auto" w:fill="auto"/>
            <w:vAlign w:val="center"/>
          </w:tcPr>
          <w:p>
            <w:pPr>
              <w:ind w:firstLine="240" w:firstLineChars="100"/>
              <w:rPr>
                <w:rFonts w:ascii="楷体_GB2312" w:hAnsi="Calibri" w:eastAsia="楷体_GB2312" w:cs="Times New Roman"/>
                <w:sz w:val="24"/>
              </w:rPr>
            </w:pPr>
          </w:p>
        </w:tc>
        <w:tc>
          <w:tcPr>
            <w:tcW w:w="1695"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2167"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931"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14"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2646"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560"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423" w:type="dxa"/>
            <w:tcBorders>
              <w:top w:val="single" w:color="auto" w:sz="4" w:space="0"/>
              <w:left w:val="nil"/>
              <w:bottom w:val="single" w:color="auto" w:sz="4" w:space="0"/>
              <w:right w:val="single" w:color="auto" w:sz="4" w:space="0"/>
            </w:tcBorders>
            <w:shd w:val="clear" w:color="auto" w:fill="auto"/>
            <w:vAlign w:val="center"/>
          </w:tcPr>
          <w:p>
            <w:pPr>
              <w:ind w:firstLine="240" w:firstLineChars="100"/>
              <w:rPr>
                <w:rFonts w:ascii="楷体_GB2312" w:hAnsi="Calibri" w:eastAsia="楷体_GB2312" w:cs="Times New Roman"/>
                <w:sz w:val="24"/>
              </w:rPr>
            </w:pPr>
          </w:p>
        </w:tc>
        <w:tc>
          <w:tcPr>
            <w:tcW w:w="1695"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2167"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931"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14"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2646"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560"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423" w:type="dxa"/>
            <w:tcBorders>
              <w:top w:val="single" w:color="auto" w:sz="4" w:space="0"/>
              <w:left w:val="nil"/>
              <w:bottom w:val="single" w:color="auto" w:sz="4" w:space="0"/>
              <w:right w:val="single" w:color="auto" w:sz="4" w:space="0"/>
            </w:tcBorders>
            <w:shd w:val="clear" w:color="auto" w:fill="auto"/>
            <w:vAlign w:val="center"/>
          </w:tcPr>
          <w:p>
            <w:pPr>
              <w:ind w:firstLine="240" w:firstLineChars="100"/>
              <w:rPr>
                <w:rFonts w:ascii="楷体_GB2312" w:hAnsi="Calibri" w:eastAsia="楷体_GB2312" w:cs="Times New Roman"/>
                <w:sz w:val="24"/>
              </w:rPr>
            </w:pPr>
          </w:p>
        </w:tc>
        <w:tc>
          <w:tcPr>
            <w:tcW w:w="1695"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2167"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931"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14"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2646"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560"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1423" w:type="dxa"/>
            <w:tcBorders>
              <w:top w:val="single" w:color="auto" w:sz="4" w:space="0"/>
              <w:left w:val="nil"/>
              <w:bottom w:val="single" w:color="auto" w:sz="4" w:space="0"/>
              <w:right w:val="single" w:color="auto" w:sz="4" w:space="0"/>
            </w:tcBorders>
            <w:shd w:val="clear" w:color="auto" w:fill="auto"/>
            <w:vAlign w:val="center"/>
          </w:tcPr>
          <w:p>
            <w:pPr>
              <w:ind w:firstLine="240" w:firstLineChars="100"/>
              <w:rPr>
                <w:rFonts w:ascii="楷体_GB2312" w:hAnsi="Calibri" w:eastAsia="楷体_GB2312" w:cs="Times New Roman"/>
                <w:sz w:val="24"/>
              </w:rPr>
            </w:pPr>
          </w:p>
        </w:tc>
        <w:tc>
          <w:tcPr>
            <w:tcW w:w="1695"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2167"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931" w:type="dxa"/>
            <w:tcBorders>
              <w:top w:val="single" w:color="auto" w:sz="4" w:space="0"/>
              <w:left w:val="nil"/>
              <w:bottom w:val="single" w:color="auto" w:sz="4" w:space="0"/>
              <w:right w:val="single" w:color="auto" w:sz="4" w:space="0"/>
            </w:tcBorders>
            <w:shd w:val="clear" w:color="auto" w:fill="auto"/>
          </w:tcPr>
          <w:p>
            <w:pPr>
              <w:rPr>
                <w:rFonts w:ascii="楷体_GB2312" w:hAnsi="Calibri" w:eastAsia="楷体_GB2312" w:cs="Times New Roman"/>
                <w:sz w:val="24"/>
              </w:rPr>
            </w:pPr>
          </w:p>
        </w:tc>
        <w:tc>
          <w:tcPr>
            <w:tcW w:w="1714"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c>
          <w:tcPr>
            <w:tcW w:w="2646" w:type="dxa"/>
            <w:tcBorders>
              <w:top w:val="single" w:color="auto" w:sz="4" w:space="0"/>
              <w:left w:val="nil"/>
              <w:bottom w:val="single" w:color="auto" w:sz="4" w:space="0"/>
              <w:right w:val="single" w:color="auto" w:sz="4" w:space="0"/>
            </w:tcBorders>
            <w:shd w:val="clear" w:color="auto" w:fill="auto"/>
            <w:vAlign w:val="center"/>
          </w:tcPr>
          <w:p>
            <w:pPr>
              <w:rPr>
                <w:rFonts w:ascii="楷体_GB2312" w:hAnsi="Calibri"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34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二级学院认定意见</w:t>
            </w:r>
          </w:p>
        </w:tc>
        <w:tc>
          <w:tcPr>
            <w:tcW w:w="12285" w:type="dxa"/>
            <w:gridSpan w:val="7"/>
            <w:tcBorders>
              <w:top w:val="single" w:color="auto" w:sz="4" w:space="0"/>
              <w:left w:val="nil"/>
              <w:bottom w:val="single" w:color="auto" w:sz="4" w:space="0"/>
              <w:right w:val="single" w:color="auto" w:sz="4" w:space="0"/>
            </w:tcBorders>
            <w:shd w:val="clear" w:color="auto" w:fill="auto"/>
          </w:tcPr>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ind w:firstLine="4680" w:firstLineChars="1950"/>
              <w:rPr>
                <w:rFonts w:ascii="楷体_GB2312" w:hAnsi="宋体" w:eastAsia="楷体_GB2312" w:cs="Times New Roman"/>
                <w:sz w:val="24"/>
              </w:rPr>
            </w:pPr>
            <w:r>
              <w:rPr>
                <w:rFonts w:ascii="楷体_GB2312" w:hAnsi="宋体" w:eastAsia="楷体_GB2312" w:cs="Times New Roman"/>
                <w:sz w:val="24"/>
                <w:lang w:bidi="ar"/>
              </w:rPr>
              <w:t xml:space="preserve">          二级学院院长签名：          </w:t>
            </w:r>
          </w:p>
          <w:p>
            <w:pPr>
              <w:spacing w:line="240" w:lineRule="atLeast"/>
              <w:ind w:firstLine="7440" w:firstLineChars="3100"/>
              <w:rPr>
                <w:rFonts w:ascii="楷体_GB2312" w:hAnsi="宋体" w:eastAsia="楷体_GB2312" w:cs="Times New Roman"/>
                <w:sz w:val="24"/>
              </w:rPr>
            </w:pPr>
            <w:r>
              <w:rPr>
                <w:rFonts w:ascii="楷体_GB2312" w:hAnsi="宋体" w:eastAsia="楷体_GB2312" w:cs="Times New Roman"/>
                <w:sz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34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教务处审</w:t>
            </w:r>
            <w:r>
              <w:rPr>
                <w:rFonts w:hint="eastAsia" w:ascii="楷体_GB2312" w:hAnsi="Calibri" w:eastAsia="楷体_GB2312" w:cs="Times New Roman"/>
                <w:sz w:val="28"/>
                <w:szCs w:val="28"/>
                <w:lang w:bidi="ar"/>
              </w:rPr>
              <w:t>核</w:t>
            </w:r>
            <w:r>
              <w:rPr>
                <w:rFonts w:ascii="楷体_GB2312" w:hAnsi="Calibri" w:eastAsia="楷体_GB2312" w:cs="Times New Roman"/>
                <w:sz w:val="28"/>
                <w:szCs w:val="28"/>
                <w:lang w:bidi="ar"/>
              </w:rPr>
              <w:t>意见</w:t>
            </w:r>
          </w:p>
        </w:tc>
        <w:tc>
          <w:tcPr>
            <w:tcW w:w="12285" w:type="dxa"/>
            <w:gridSpan w:val="7"/>
            <w:tcBorders>
              <w:top w:val="single" w:color="auto" w:sz="4" w:space="0"/>
              <w:left w:val="nil"/>
              <w:bottom w:val="single" w:color="auto" w:sz="4" w:space="0"/>
              <w:right w:val="single" w:color="auto" w:sz="4" w:space="0"/>
            </w:tcBorders>
            <w:shd w:val="clear" w:color="auto" w:fill="auto"/>
          </w:tcPr>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r>
              <w:rPr>
                <w:rFonts w:ascii="楷体_GB2312" w:hAnsi="宋体" w:eastAsia="楷体_GB2312" w:cs="Times New Roman"/>
                <w:sz w:val="24"/>
                <w:lang w:bidi="ar"/>
              </w:rPr>
              <w:t xml:space="preserve">                                                     处长签名：           </w:t>
            </w:r>
          </w:p>
          <w:p>
            <w:pPr>
              <w:spacing w:line="240" w:lineRule="atLeast"/>
              <w:rPr>
                <w:rFonts w:ascii="楷体_GB2312" w:hAnsi="宋体" w:eastAsia="楷体_GB2312" w:cs="Times New Roman"/>
                <w:sz w:val="24"/>
              </w:rPr>
            </w:pPr>
            <w:r>
              <w:rPr>
                <w:rFonts w:ascii="楷体_GB2312" w:hAnsi="宋体" w:eastAsia="楷体_GB2312" w:cs="Times New Roman"/>
                <w:sz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34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Calibri" w:eastAsia="楷体_GB2312" w:cs="Times New Roman"/>
                <w:sz w:val="28"/>
                <w:szCs w:val="28"/>
              </w:rPr>
            </w:pPr>
            <w:r>
              <w:rPr>
                <w:rFonts w:ascii="楷体_GB2312" w:hAnsi="Calibri" w:eastAsia="楷体_GB2312" w:cs="Times New Roman"/>
                <w:sz w:val="28"/>
                <w:szCs w:val="28"/>
                <w:lang w:bidi="ar"/>
              </w:rPr>
              <w:t>教学</w:t>
            </w:r>
            <w:r>
              <w:rPr>
                <w:rFonts w:hint="eastAsia" w:ascii="楷体_GB2312" w:hAnsi="Calibri" w:eastAsia="楷体_GB2312" w:cs="Times New Roman"/>
                <w:sz w:val="28"/>
                <w:szCs w:val="28"/>
                <w:lang w:bidi="ar"/>
              </w:rPr>
              <w:t>副院</w:t>
            </w:r>
            <w:r>
              <w:rPr>
                <w:rFonts w:ascii="楷体_GB2312" w:hAnsi="Calibri" w:eastAsia="楷体_GB2312" w:cs="Times New Roman"/>
                <w:sz w:val="28"/>
                <w:szCs w:val="28"/>
                <w:lang w:bidi="ar"/>
              </w:rPr>
              <w:t>长审</w:t>
            </w:r>
            <w:r>
              <w:rPr>
                <w:rFonts w:hint="eastAsia" w:ascii="楷体_GB2312" w:hAnsi="Calibri" w:eastAsia="楷体_GB2312" w:cs="Times New Roman"/>
                <w:sz w:val="28"/>
                <w:szCs w:val="28"/>
                <w:lang w:bidi="ar"/>
              </w:rPr>
              <w:t>批</w:t>
            </w:r>
            <w:r>
              <w:rPr>
                <w:rFonts w:ascii="楷体_GB2312" w:hAnsi="Calibri" w:eastAsia="楷体_GB2312" w:cs="Times New Roman"/>
                <w:sz w:val="28"/>
                <w:szCs w:val="28"/>
                <w:lang w:bidi="ar"/>
              </w:rPr>
              <w:t>意见</w:t>
            </w:r>
          </w:p>
        </w:tc>
        <w:tc>
          <w:tcPr>
            <w:tcW w:w="12285" w:type="dxa"/>
            <w:gridSpan w:val="7"/>
            <w:tcBorders>
              <w:top w:val="single" w:color="auto" w:sz="4" w:space="0"/>
              <w:left w:val="nil"/>
              <w:bottom w:val="single" w:color="auto" w:sz="4" w:space="0"/>
              <w:right w:val="single" w:color="auto" w:sz="4" w:space="0"/>
            </w:tcBorders>
            <w:shd w:val="clear" w:color="auto" w:fill="auto"/>
          </w:tcPr>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p>
          <w:p>
            <w:pPr>
              <w:spacing w:line="240" w:lineRule="atLeast"/>
              <w:rPr>
                <w:rFonts w:ascii="楷体_GB2312" w:hAnsi="宋体" w:eastAsia="楷体_GB2312" w:cs="Times New Roman"/>
                <w:sz w:val="24"/>
              </w:rPr>
            </w:pPr>
            <w:r>
              <w:rPr>
                <w:rFonts w:ascii="楷体_GB2312" w:hAnsi="宋体" w:eastAsia="楷体_GB2312" w:cs="Times New Roman"/>
                <w:sz w:val="24"/>
                <w:lang w:bidi="ar"/>
              </w:rPr>
              <w:t xml:space="preserve">                                                    副</w:t>
            </w:r>
            <w:r>
              <w:rPr>
                <w:rFonts w:hint="eastAsia" w:ascii="楷体_GB2312" w:hAnsi="宋体" w:eastAsia="楷体_GB2312" w:cs="Times New Roman"/>
                <w:sz w:val="24"/>
                <w:lang w:bidi="ar"/>
              </w:rPr>
              <w:t>院</w:t>
            </w:r>
            <w:r>
              <w:rPr>
                <w:rFonts w:ascii="楷体_GB2312" w:hAnsi="宋体" w:eastAsia="楷体_GB2312" w:cs="Times New Roman"/>
                <w:sz w:val="24"/>
                <w:lang w:bidi="ar"/>
              </w:rPr>
              <w:t xml:space="preserve">长签名：           </w:t>
            </w:r>
          </w:p>
          <w:p>
            <w:pPr>
              <w:spacing w:line="240" w:lineRule="atLeast"/>
              <w:rPr>
                <w:rFonts w:ascii="楷体_GB2312" w:hAnsi="宋体" w:eastAsia="楷体_GB2312" w:cs="Times New Roman"/>
                <w:sz w:val="24"/>
              </w:rPr>
            </w:pPr>
            <w:r>
              <w:rPr>
                <w:rFonts w:ascii="楷体_GB2312" w:hAnsi="宋体" w:eastAsia="楷体_GB2312" w:cs="Times New Roman"/>
                <w:sz w:val="24"/>
                <w:lang w:bidi="ar"/>
              </w:rPr>
              <w:t xml:space="preserve">                                                                              年   月   日</w:t>
            </w:r>
          </w:p>
        </w:tc>
      </w:tr>
    </w:tbl>
    <w:p>
      <w:pPr>
        <w:spacing w:line="400" w:lineRule="exact"/>
        <w:jc w:val="center"/>
        <w:rPr>
          <w:rFonts w:ascii="楷体_GB2312" w:hAnsi="Calibri" w:eastAsia="楷体_GB2312" w:cs="Times New Roman"/>
          <w:b/>
          <w:sz w:val="32"/>
          <w:szCs w:val="32"/>
        </w:rPr>
      </w:pPr>
      <w:r>
        <w:rPr>
          <w:rFonts w:ascii="楷体_GB2312" w:hAnsi="Calibri" w:eastAsia="楷体_GB2312" w:cs="楷体_GB2312"/>
          <w:b/>
          <w:sz w:val="32"/>
          <w:szCs w:val="32"/>
          <w:lang w:bidi="ar"/>
        </w:rPr>
        <w:t>湖南商务职业技术学院学生奖励学分情况汇总表</w:t>
      </w:r>
    </w:p>
    <w:p>
      <w:pPr>
        <w:rPr>
          <w:rFonts w:ascii="楷体_GB2312" w:hAnsi="Calibri" w:eastAsia="楷体_GB2312" w:cs="楷体_GB2312"/>
          <w:sz w:val="28"/>
          <w:szCs w:val="28"/>
          <w:lang w:bidi="ar"/>
        </w:rPr>
      </w:pPr>
      <w:r>
        <w:rPr>
          <w:rFonts w:ascii="楷体_GB2312" w:hAnsi="Calibri" w:eastAsia="楷体_GB2312" w:cs="楷体_GB2312"/>
          <w:sz w:val="28"/>
          <w:szCs w:val="28"/>
          <w:lang w:bidi="ar"/>
        </w:rPr>
        <w:t>二级学院（盖章）：</w:t>
      </w:r>
      <w:r>
        <w:rPr>
          <w:rFonts w:ascii="楷体_GB2312" w:hAnsi="Calibri" w:eastAsia="楷体_GB2312" w:cs="Times New Roman"/>
          <w:sz w:val="28"/>
          <w:szCs w:val="28"/>
          <w:lang w:bidi="ar"/>
        </w:rPr>
        <w:t xml:space="preserve">                               </w:t>
      </w:r>
      <w:r>
        <w:rPr>
          <w:rFonts w:ascii="楷体_GB2312" w:hAnsi="Calibri" w:eastAsia="楷体_GB2312" w:cs="楷体_GB2312"/>
          <w:sz w:val="28"/>
          <w:szCs w:val="28"/>
          <w:lang w:bidi="ar"/>
        </w:rPr>
        <w:t>填表人：</w:t>
      </w:r>
      <w:r>
        <w:rPr>
          <w:rFonts w:ascii="楷体_GB2312" w:hAnsi="Calibri" w:eastAsia="楷体_GB2312" w:cs="Times New Roman"/>
          <w:sz w:val="28"/>
          <w:szCs w:val="28"/>
          <w:lang w:bidi="ar"/>
        </w:rPr>
        <w:t xml:space="preserve">                          </w:t>
      </w:r>
      <w:r>
        <w:rPr>
          <w:rFonts w:ascii="楷体_GB2312" w:hAnsi="Calibri" w:eastAsia="楷体_GB2312" w:cs="楷体_GB2312"/>
          <w:sz w:val="28"/>
          <w:szCs w:val="28"/>
          <w:lang w:bidi="ar"/>
        </w:rPr>
        <w:t>填表日期：</w:t>
      </w:r>
      <w:r>
        <w:rPr>
          <w:rFonts w:ascii="楷体_GB2312" w:hAnsi="Calibri" w:eastAsia="楷体_GB2312" w:cs="楷体_GB2312"/>
          <w:sz w:val="28"/>
          <w:szCs w:val="28"/>
          <w:lang w:bidi="ar"/>
        </w:rPr>
        <w:br w:type="page"/>
      </w:r>
    </w:p>
    <w:p>
      <w:pPr>
        <w:sectPr>
          <w:pgSz w:w="16838" w:h="11906" w:orient="landscape"/>
          <w:pgMar w:top="1800" w:right="1440" w:bottom="1800" w:left="1440" w:header="851" w:footer="992" w:gutter="0"/>
          <w:cols w:space="425" w:num="1"/>
          <w:docGrid w:type="lines" w:linePitch="312" w:charSpace="0"/>
        </w:sectPr>
      </w:pPr>
    </w:p>
    <w:p>
      <w:pPr>
        <w:spacing w:line="600" w:lineRule="exact"/>
        <w:ind w:firstLine="600" w:firstLineChars="200"/>
        <w:rPr>
          <w:rFonts w:ascii="仿宋_GB2312" w:hAnsi="宋体" w:eastAsia="仿宋_GB2312"/>
          <w:spacing w:val="-10"/>
          <w:sz w:val="32"/>
          <w:szCs w:val="32"/>
        </w:rPr>
      </w:pPr>
      <w:r>
        <w:rPr>
          <w:rFonts w:ascii="仿宋_GB2312" w:hAnsi="宋体" w:eastAsia="仿宋_GB2312"/>
          <w:spacing w:val="-10"/>
          <w:sz w:val="32"/>
          <w:szCs w:val="32"/>
        </w:rPr>
        <w:t>（此页无正文）</w:t>
      </w: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rPr>
          <w:rFonts w:hAnsi="宋体"/>
          <w:spacing w:val="-10"/>
          <w:sz w:val="28"/>
          <w:szCs w:val="28"/>
        </w:rPr>
      </w:pPr>
    </w:p>
    <w:p>
      <w:pPr>
        <w:spacing w:line="600" w:lineRule="exact"/>
        <w:ind w:firstLine="105" w:firstLineChars="50"/>
        <w:rPr>
          <w:rFonts w:ascii="仿宋_GB2312" w:eastAsia="仿宋_GB2312"/>
          <w:szCs w:val="10"/>
        </w:rPr>
      </w:pPr>
      <w:r>
        <w:rPr>
          <w:rFonts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77470</wp:posOffset>
                </wp:positionV>
                <wp:extent cx="5391785" cy="0"/>
                <wp:effectExtent l="0" t="0" r="3746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6.1pt;height:0pt;width:424.55pt;z-index:251660288;mso-width-relative:page;mso-height-relative:page;" filled="f" stroked="t" coordsize="21600,21600" o:gfxdata="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3YSk0wAAAAYBAAAP&#10;AAAAAAAAAAEAIAAAACIAAABkcnMvZG93bnJldi54bWxQSwECFAAUAAAACACHTuJAP1dHZOQBAACq&#10;AwAADgAAAAAAAAABACAAAAAiAQAAZHJzL2Uyb0RvYy54bWxQSwUGAAAAAAYABgBZAQAAeAUAAAAA&#10;">
                <v:fill on="f" focussize="0,0"/>
                <v:stroke color="#000000" joinstyle="round"/>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396875</wp:posOffset>
                </wp:positionV>
                <wp:extent cx="5391785" cy="0"/>
                <wp:effectExtent l="0" t="0" r="3746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25pt;height:0pt;width:424.55pt;z-index:251659264;mso-width-relative:page;mso-height-relative:page;" filled="f" stroked="t" coordsize="21600,21600" o:gfxdata="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YOtc3UAAAABgEA&#10;AA8AAAAAAAAAAQAgAAAAIgAAAGRycy9kb3ducmV2LnhtbFBLAQIUABQAAAAIAIdO4kBMLGmx5QEA&#10;AKoDAAAOAAAAAAAAAAEAIAAAACMBAABkcnMvZTJvRG9jLnhtbFBLBQYAAAAABgAGAFkBAAB6BQAA&#10;AAA=&#10;">
                <v:fill on="f" focussize="0,0"/>
                <v:stroke color="#000000" joinstyle="round"/>
                <v:imagedata o:title=""/>
                <o:lock v:ext="edit" aspectratio="f"/>
              </v:line>
            </w:pict>
          </mc:Fallback>
        </mc:AlternateContent>
      </w:r>
      <w:r>
        <w:rPr>
          <w:rFonts w:hint="eastAsia" w:ascii="仿宋_GB2312" w:hAnsi="宋体" w:eastAsia="仿宋_GB2312"/>
          <w:spacing w:val="-10"/>
          <w:sz w:val="28"/>
          <w:szCs w:val="28"/>
        </w:rPr>
        <w:t xml:space="preserve">湖南商务职业技术学院党政办公室   </w:t>
      </w:r>
      <w:r>
        <w:rPr>
          <w:rFonts w:ascii="仿宋_GB2312" w:hAnsi="宋体" w:eastAsia="仿宋_GB2312"/>
          <w:spacing w:val="-10"/>
          <w:sz w:val="28"/>
          <w:szCs w:val="28"/>
        </w:rPr>
        <w:t xml:space="preserve"> </w:t>
      </w:r>
      <w:r>
        <w:rPr>
          <w:rFonts w:hint="eastAsia" w:ascii="仿宋_GB2312" w:hAnsi="宋体" w:eastAsia="仿宋_GB2312"/>
          <w:spacing w:val="-10"/>
          <w:sz w:val="28"/>
          <w:szCs w:val="28"/>
        </w:rPr>
        <w:t xml:space="preserve">         2021年1</w:t>
      </w:r>
      <w:r>
        <w:rPr>
          <w:rFonts w:ascii="仿宋_GB2312" w:hAnsi="宋体" w:eastAsia="仿宋_GB2312"/>
          <w:spacing w:val="-10"/>
          <w:sz w:val="28"/>
          <w:szCs w:val="28"/>
        </w:rPr>
        <w:t>1</w:t>
      </w:r>
      <w:r>
        <w:rPr>
          <w:rFonts w:hint="eastAsia" w:ascii="仿宋_GB2312" w:hAnsi="宋体" w:eastAsia="仿宋_GB2312"/>
          <w:spacing w:val="-10"/>
          <w:sz w:val="28"/>
          <w:szCs w:val="28"/>
        </w:rPr>
        <w:t>月</w:t>
      </w:r>
      <w:r>
        <w:rPr>
          <w:rFonts w:ascii="仿宋_GB2312" w:hAnsi="宋体" w:eastAsia="仿宋_GB2312"/>
          <w:spacing w:val="-10"/>
          <w:sz w:val="28"/>
          <w:szCs w:val="28"/>
        </w:rPr>
        <w:t>15</w:t>
      </w:r>
      <w:r>
        <w:rPr>
          <w:rFonts w:hint="eastAsia" w:ascii="仿宋_GB2312" w:hAnsi="宋体" w:eastAsia="仿宋_GB2312"/>
          <w:spacing w:val="-10"/>
          <w:sz w:val="28"/>
          <w:szCs w:val="28"/>
        </w:rPr>
        <w:t>日印发</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566284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5916268"/>
      <w:docPartObj>
        <w:docPartGallery w:val="AutoText"/>
      </w:docPartObj>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1E"/>
    <w:rsid w:val="000316F0"/>
    <w:rsid w:val="000412FE"/>
    <w:rsid w:val="0008453E"/>
    <w:rsid w:val="000B3819"/>
    <w:rsid w:val="000C58BE"/>
    <w:rsid w:val="000E79D0"/>
    <w:rsid w:val="000F20AE"/>
    <w:rsid w:val="000F6B4F"/>
    <w:rsid w:val="00105F0B"/>
    <w:rsid w:val="00163C3C"/>
    <w:rsid w:val="00194A43"/>
    <w:rsid w:val="001B1B0E"/>
    <w:rsid w:val="001B3A95"/>
    <w:rsid w:val="001E652F"/>
    <w:rsid w:val="001E7161"/>
    <w:rsid w:val="00225433"/>
    <w:rsid w:val="002278C0"/>
    <w:rsid w:val="002736F5"/>
    <w:rsid w:val="00293B03"/>
    <w:rsid w:val="002B062E"/>
    <w:rsid w:val="002C16BE"/>
    <w:rsid w:val="002E3BC4"/>
    <w:rsid w:val="003154E7"/>
    <w:rsid w:val="003336E9"/>
    <w:rsid w:val="00366A58"/>
    <w:rsid w:val="00366B0D"/>
    <w:rsid w:val="003719FA"/>
    <w:rsid w:val="00374AED"/>
    <w:rsid w:val="003B0E69"/>
    <w:rsid w:val="003B6112"/>
    <w:rsid w:val="003B6603"/>
    <w:rsid w:val="004052C7"/>
    <w:rsid w:val="00405646"/>
    <w:rsid w:val="00416E11"/>
    <w:rsid w:val="0042208B"/>
    <w:rsid w:val="00464B5B"/>
    <w:rsid w:val="00465D33"/>
    <w:rsid w:val="00471887"/>
    <w:rsid w:val="004C3A26"/>
    <w:rsid w:val="004C6618"/>
    <w:rsid w:val="0057279D"/>
    <w:rsid w:val="00577ED1"/>
    <w:rsid w:val="005A1C21"/>
    <w:rsid w:val="00624E60"/>
    <w:rsid w:val="0066457F"/>
    <w:rsid w:val="0067070D"/>
    <w:rsid w:val="006D6A7E"/>
    <w:rsid w:val="00724568"/>
    <w:rsid w:val="00756874"/>
    <w:rsid w:val="00756DA3"/>
    <w:rsid w:val="00775D95"/>
    <w:rsid w:val="007900D7"/>
    <w:rsid w:val="00790365"/>
    <w:rsid w:val="007A41F4"/>
    <w:rsid w:val="007B6CB7"/>
    <w:rsid w:val="007C36A5"/>
    <w:rsid w:val="00833BB2"/>
    <w:rsid w:val="0085459B"/>
    <w:rsid w:val="008B3D80"/>
    <w:rsid w:val="008E1360"/>
    <w:rsid w:val="008E2DE8"/>
    <w:rsid w:val="008F6E5E"/>
    <w:rsid w:val="0090381D"/>
    <w:rsid w:val="009328E3"/>
    <w:rsid w:val="009609F9"/>
    <w:rsid w:val="00974476"/>
    <w:rsid w:val="009B5922"/>
    <w:rsid w:val="009B69A5"/>
    <w:rsid w:val="009B6E96"/>
    <w:rsid w:val="009C4C37"/>
    <w:rsid w:val="00A0675C"/>
    <w:rsid w:val="00A35E9F"/>
    <w:rsid w:val="00A42D1D"/>
    <w:rsid w:val="00A4791C"/>
    <w:rsid w:val="00A70CBD"/>
    <w:rsid w:val="00A80911"/>
    <w:rsid w:val="00AA04A6"/>
    <w:rsid w:val="00AA4803"/>
    <w:rsid w:val="00AC478B"/>
    <w:rsid w:val="00AD5CF7"/>
    <w:rsid w:val="00AF2259"/>
    <w:rsid w:val="00B12045"/>
    <w:rsid w:val="00B21DC5"/>
    <w:rsid w:val="00B30548"/>
    <w:rsid w:val="00BB1B2E"/>
    <w:rsid w:val="00BC3472"/>
    <w:rsid w:val="00BD20DC"/>
    <w:rsid w:val="00C026EE"/>
    <w:rsid w:val="00C322E3"/>
    <w:rsid w:val="00C443C9"/>
    <w:rsid w:val="00C9093E"/>
    <w:rsid w:val="00C96B6A"/>
    <w:rsid w:val="00CB04C0"/>
    <w:rsid w:val="00CE731E"/>
    <w:rsid w:val="00D04316"/>
    <w:rsid w:val="00D94AF9"/>
    <w:rsid w:val="00D9670B"/>
    <w:rsid w:val="00DB272D"/>
    <w:rsid w:val="00DC6A46"/>
    <w:rsid w:val="00E105C1"/>
    <w:rsid w:val="00E36A3B"/>
    <w:rsid w:val="00EF0A74"/>
    <w:rsid w:val="00F32596"/>
    <w:rsid w:val="00F41A7D"/>
    <w:rsid w:val="00F764DC"/>
    <w:rsid w:val="00FA2CEA"/>
    <w:rsid w:val="00FC11EB"/>
    <w:rsid w:val="00FE01E6"/>
    <w:rsid w:val="0851781C"/>
    <w:rsid w:val="087F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uiPriority w:val="99"/>
  </w:style>
  <w:style w:type="character" w:customStyle="1" w:styleId="13">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661</Words>
  <Characters>3768</Characters>
  <Lines>31</Lines>
  <Paragraphs>8</Paragraphs>
  <TotalTime>125</TotalTime>
  <ScaleCrop>false</ScaleCrop>
  <LinksUpToDate>false</LinksUpToDate>
  <CharactersWithSpaces>4421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2021-11-01T08:08:00Z</dcterms:created>
  <dc:creator>易兰华</dc:creator>
  <cp:lastModifiedBy>Administrator</cp:lastModifiedBy>
  <cp:lastPrinted>2021-11-15T03:56:00Z</cp:lastPrinted>
  <dcterms:modified xsi:type="dcterms:W3CDTF">2021-12-27T08:43:18Z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C5F44D619E2B44AAA51E655AE3E85885</vt:lpwstr>
  </property>
</Properties>
</file>